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sz w:val="32"/>
        </w:rPr>
      </w:pPr>
      <w:r>
        <w:rPr>
          <w:sz w:val="32"/>
        </w:rPr>
        <w:t>Proposed Term Sheet for</w:t>
      </w:r>
    </w:p>
    <w:p>
      <w:pPr>
        <w:pStyle w:val="Heading6"/>
        <w:ind w:hanging="0" w:start="0"/>
        <w:rPr/>
      </w:pPr>
      <w:r>
        <w:rPr/>
        <w:t xml:space="preserve">Peaking Capacity and Energy Purchase Agreement Between </w:t>
      </w:r>
    </w:p>
    <w:p>
      <w:pPr>
        <w:pStyle w:val="Heading6"/>
        <w:ind w:hanging="0" w:start="0"/>
        <w:rPr/>
      </w:pPr>
      <w:r>
        <w:rPr/>
        <w:t>Enron North America and Nuclear Management Company, LLC</w:t>
      </w:r>
    </w:p>
    <w:p>
      <w:pPr>
        <w:pStyle w:val="Heading6"/>
        <w:ind w:hanging="0" w:start="0"/>
        <w:rPr/>
      </w:pPr>
      <w:r>
        <w:rPr/>
        <w:t>April 2001</w:t>
      </w:r>
    </w:p>
    <w:p>
      <w:pPr>
        <w:pStyle w:val="Normal"/>
        <w:rPr>
          <w:sz w:val="32"/>
        </w:rPr>
      </w:pPr>
      <w:r>
        <w:rPr>
          <w:sz w:val="32"/>
        </w:rPr>
      </w:r>
    </w:p>
    <w:p>
      <w:pPr>
        <w:pStyle w:val="Normal"/>
        <w:tabs>
          <w:tab w:val="clear" w:pos="720"/>
          <w:tab w:val="left" w:pos="-1440" w:leader="none"/>
        </w:tabs>
        <w:ind w:hanging="2880" w:start="2880" w:end="0"/>
        <w:rPr>
          <w:b/>
        </w:rPr>
      </w:pPr>
      <w:r>
        <w:rPr>
          <w:b/>
        </w:rPr>
        <w:t>Buyer:</w:t>
        <w:tab/>
        <w:tab/>
        <w:tab/>
        <w:tab/>
      </w:r>
      <w:r>
        <w:rPr>
          <w:bCs/>
        </w:rPr>
        <w:t>Nuclear Management Company, LLC [or, newly formed GENCO],</w:t>
      </w:r>
      <w:r>
        <w:rPr/>
        <w:t xml:space="preserve"> a _______________________________.</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Projects:</w:t>
        <w:tab/>
        <w:tab/>
        <w:tab/>
      </w:r>
      <w:r>
        <w:rPr/>
        <w:t>The Arpin Project means the natural gas-fired electric generation facility consisting of (three) MHI Model 501F combustion turbine(s) operated in simple-cycle, to be installed at a site adjacent to the Arpin 345 kV substation.</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Seller:</w:t>
        <w:tab/>
        <w:tab/>
        <w:tab/>
        <w:tab/>
      </w:r>
      <w:r>
        <w:rPr/>
        <w:t>For the Arpin Project,</w:t>
      </w:r>
      <w:r>
        <w:rPr>
          <w:b/>
        </w:rPr>
        <w:t xml:space="preserve"> </w:t>
      </w:r>
      <w:r>
        <w:rPr/>
        <w:t>Arpin Development Company, LLC.,</w:t>
      </w:r>
      <w:r>
        <w:rPr>
          <w:b/>
        </w:rPr>
        <w:t xml:space="preserve"> </w:t>
      </w:r>
      <w:r>
        <w:rPr/>
        <w:t>a joint venture between Enron North America and Great River Energy.</w:t>
      </w:r>
    </w:p>
    <w:p>
      <w:pPr>
        <w:pStyle w:val="Normal"/>
        <w:tabs>
          <w:tab w:val="clear" w:pos="720"/>
          <w:tab w:val="left" w:pos="-1440" w:leader="none"/>
        </w:tabs>
        <w:ind w:hanging="2880" w:start="2880" w:end="0"/>
        <w:rPr>
          <w:b/>
        </w:rPr>
      </w:pPr>
      <w:r>
        <w:rPr>
          <w:b/>
        </w:rPr>
        <w:tab/>
        <w:tab/>
        <w:tab/>
        <w:tab/>
      </w:r>
      <w:r>
        <w:rPr/>
        <w:tab/>
        <w:tab/>
        <w:tab/>
        <w:tab/>
      </w:r>
    </w:p>
    <w:p>
      <w:pPr>
        <w:pStyle w:val="Normal"/>
        <w:tabs>
          <w:tab w:val="clear" w:pos="720"/>
          <w:tab w:val="left" w:pos="-1440" w:leader="none"/>
        </w:tabs>
        <w:ind w:hanging="2880" w:start="2880" w:end="0"/>
        <w:rPr>
          <w:b/>
        </w:rPr>
      </w:pPr>
      <w:r>
        <w:rPr>
          <w:b/>
        </w:rPr>
        <w:t>Term:</w:t>
        <w:tab/>
        <w:tab/>
        <w:tab/>
        <w:tab/>
      </w:r>
      <w:r>
        <w:rPr/>
        <w:t>Starting with the expected Commercial Operation</w:t>
      </w:r>
      <w:r>
        <w:rPr>
          <w:sz w:val="28"/>
        </w:rPr>
        <w:t xml:space="preserve"> </w:t>
      </w:r>
      <w:r>
        <w:rPr/>
        <w:t>Date of (June 1, 2002 or 2003).  [subject to permitting and interconnection approvals]</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Contract Capacity:</w:t>
      </w:r>
      <w:r>
        <w:rPr>
          <w:sz w:val="28"/>
        </w:rPr>
        <w:tab/>
        <w:tab/>
      </w:r>
      <w:r>
        <w:rPr/>
        <w:t xml:space="preserve">The Contract Capacity will be 558 MW at Standard Site Conditions, as defined below, and subject to adjustment as outlined in the Capacity Testing section below. </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Capacity Testing:</w:t>
      </w:r>
      <w:r>
        <w:rPr/>
        <w:tab/>
      </w:r>
      <w:r>
        <w:rPr>
          <w:sz w:val="28"/>
        </w:rPr>
        <w:tab/>
      </w:r>
      <w:r>
        <w:rPr/>
        <w:t>Buyer or Seller at its own cost shall have the right to have the capacity of a given Project tested once each calendar year (at a set time each year, during non-summer months at a time determined by Seller), subject to defined and objective performance tests.  The adjusted results of the performance test (including adjustments for degradation consistent with OEM standards), positive or negative, will establish the Contract Capacity for the Project until such time as another performance test is performed.  The results of each of these performance tests will be adjusted to Standard Site Conditions.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Contract Energy:</w:t>
        <w:tab/>
        <w:tab/>
      </w:r>
      <w:r>
        <w:rPr/>
        <w:t>Energy (in MWh) supplied by Seller to Buyer, either (at Seller’s discretion) generated by Seller’s Project or acquired by Seller from the marketplace.</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Contract Base Capacity</w:t>
      </w:r>
    </w:p>
    <w:p>
      <w:pPr>
        <w:pStyle w:val="Normal"/>
        <w:tabs>
          <w:tab w:val="clear" w:pos="720"/>
          <w:tab w:val="left" w:pos="-1440" w:leader="none"/>
        </w:tabs>
        <w:ind w:hanging="2880" w:start="2880" w:end="0"/>
        <w:rPr/>
      </w:pPr>
      <w:r>
        <w:rPr>
          <w:b/>
        </w:rPr>
        <w:t>Charge:</w:t>
        <w:tab/>
        <w:tab/>
        <w:tab/>
        <w:t>__</w:t>
      </w:r>
      <w:r>
        <w:rPr/>
        <w:t>$ per kW-Month (“Monthly Tolling Fee”), payable monthly starting on June 1, 2002 or 2003 and calculated as the product of the following factors: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ab/>
        <w:tab/>
        <w:tab/>
        <w:tab/>
      </w:r>
      <w:r>
        <w:rPr/>
        <w:t>(Contract Capacity (MW)) * 1000 * (Monthly Tolling Fee ($/kW-Month))</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Variable Charge:</w:t>
      </w:r>
      <w:r>
        <w:rPr/>
        <w:tab/>
        <w:tab/>
        <w:t>For Contract Energy scheduled and delivered to Buyer from Seller in a given hour [(including contract energy delivered during ramp up and ramp down periods), Buyer shall pay Seller Variable Charges</w:t>
      </w:r>
      <w:r>
        <w:rPr>
          <w:b/>
        </w:rPr>
        <w:t xml:space="preserve"> </w:t>
      </w:r>
      <w:r>
        <w:rPr/>
        <w:t>equal to the sum of the following: the product of (1) the Variable Charge given below ($___/MWh) and (2) the Contract Energy delivered in such hour.</w:t>
      </w:r>
    </w:p>
    <w:p>
      <w:pPr>
        <w:pStyle w:val="Normal"/>
        <w:tabs>
          <w:tab w:val="clear" w:pos="720"/>
          <w:tab w:val="left" w:pos="-1440" w:leader="none"/>
        </w:tabs>
        <w:ind w:hanging="2880" w:start="2880" w:end="0"/>
        <w:rPr/>
      </w:pPr>
      <w:r>
        <w:rPr/>
      </w:r>
    </w:p>
    <w:p>
      <w:pPr>
        <w:pStyle w:val="Normal"/>
        <w:ind w:hanging="2880" w:start="2880" w:end="0"/>
        <w:rPr>
          <w:b/>
        </w:rPr>
      </w:pPr>
      <w:r>
        <w:rPr>
          <w:sz w:val="28"/>
        </w:rPr>
        <w:tab/>
        <w:tab/>
        <w:tab/>
        <w:tab/>
      </w:r>
      <w:r>
        <w:rPr/>
        <w:t>The Variable Charge shall be $___ per MWh in June 1, 2002 dollars and shall escalate annually at a rate equal to the PPI where defined.</w:t>
      </w:r>
    </w:p>
    <w:p>
      <w:pPr>
        <w:pStyle w:val="Normal"/>
        <w:ind w:hanging="2880" w:start="2880" w:end="0"/>
        <w:rPr>
          <w:b/>
        </w:rPr>
      </w:pPr>
      <w:r>
        <w:rPr>
          <w:b/>
        </w:rPr>
      </w:r>
    </w:p>
    <w:p>
      <w:pPr>
        <w:pStyle w:val="Normal"/>
        <w:ind w:hanging="2880" w:start="2880" w:end="0"/>
        <w:rPr>
          <w:b/>
        </w:rPr>
      </w:pPr>
      <w:r>
        <w:rPr>
          <w:b/>
        </w:rPr>
        <w:t>Guaranteed Heat Rate:</w:t>
      </w:r>
      <w:r>
        <w:rPr/>
        <w:tab/>
        <w:t xml:space="preserve">For each Project, the new and clean Guaranteed Heat Rate of MMBtu/MWh  (HHV) shall be negotiated for base load and Standard Site Conditions. </w:t>
      </w:r>
    </w:p>
    <w:p>
      <w:pPr>
        <w:pStyle w:val="Normal"/>
        <w:ind w:hanging="2880" w:start="2880" w:end="0"/>
        <w:rPr>
          <w:b/>
        </w:rPr>
      </w:pPr>
      <w:r>
        <w:rPr>
          <w:b/>
        </w:rPr>
      </w:r>
    </w:p>
    <w:p>
      <w:pPr>
        <w:pStyle w:val="Normal"/>
        <w:ind w:hanging="2880" w:start="2880" w:end="0"/>
        <w:rPr/>
      </w:pPr>
      <w:r>
        <w:rPr>
          <w:b/>
        </w:rPr>
        <w:t>Contract Heat Rate:</w:t>
      </w:r>
      <w:r>
        <w:rPr/>
        <w:tab/>
        <w:tab/>
        <w:t>The Contract Heat Rate shall be determined for each hour of dispatch.  The Contract Heat Rate will be equal to the turbine manufacturer Guaranteed Heat Rate as adjusted in accordance with manufacturer’s suggested correction factors, and verified every year following testing for degradation, measurement tolerance, barometric pressure at site elevation, temperature, relative humidity, and partial load.</w:t>
      </w:r>
    </w:p>
    <w:p>
      <w:pPr>
        <w:pStyle w:val="Normal"/>
        <w:ind w:hanging="2880" w:start="2880" w:end="0"/>
        <w:rPr>
          <w:b/>
        </w:rPr>
      </w:pPr>
      <w:r>
        <w:rPr>
          <w:b/>
        </w:rPr>
      </w:r>
    </w:p>
    <w:p>
      <w:pPr>
        <w:pStyle w:val="Heading7"/>
        <w:rPr/>
      </w:pPr>
      <w:r>
        <w:rPr/>
        <w:t>Heat Rate Bonus and</w:t>
      </w:r>
    </w:p>
    <w:p>
      <w:pPr>
        <w:pStyle w:val="Heading7"/>
        <w:rPr/>
      </w:pPr>
      <w:r>
        <w:rPr/>
        <w:t>Penalty:</w:t>
        <w:tab/>
        <w:tab/>
        <w:tab/>
      </w:r>
      <w:r>
        <w:rPr>
          <w:b w:val="false"/>
        </w:rPr>
        <w:t>To the extent that Heat Rate testing results determine that a Project has outperformed the Guaranteed Heat Rate for a given contract year, Buyer will pay an annual Heat Rate Bonus to Seller of a negotiated amount expressed as $MMBtu/MWh (HHV). The bonus amount will be equal to the equivalent savings in fuel costs associated with the lower Heat Rate calculated as:</w:t>
      </w:r>
    </w:p>
    <w:p>
      <w:pPr>
        <w:pStyle w:val="Heading7"/>
        <w:ind w:hanging="2160" w:end="0"/>
        <w:rPr>
          <w:b w:val="false"/>
        </w:rPr>
      </w:pPr>
      <w:r>
        <w:rPr>
          <w:b w:val="false"/>
        </w:rPr>
      </w:r>
    </w:p>
    <w:p>
      <w:pPr>
        <w:pStyle w:val="Normal"/>
        <w:ind w:start="2880" w:end="0"/>
        <w:rPr/>
      </w:pPr>
      <w:r>
        <w:rPr/>
        <w:t>Contract Energy delivered per contract year (MWh/year) * Fuel Index (To be Negotiated) * (Guaranteed Heat Rate – Contract Heat Rate (MMBtu/MWh))</w:t>
      </w:r>
    </w:p>
    <w:p>
      <w:pPr>
        <w:pStyle w:val="Normal"/>
        <w:rPr/>
      </w:pPr>
      <w:r>
        <w:rPr/>
      </w:r>
    </w:p>
    <w:p>
      <w:pPr>
        <w:pStyle w:val="Heading7"/>
        <w:ind w:hanging="0" w:end="0"/>
        <w:rPr>
          <w:b w:val="false"/>
        </w:rPr>
      </w:pPr>
      <w:r>
        <w:rPr>
          <w:b w:val="false"/>
        </w:rPr>
        <w:t>To the extent that actual results determine that a Project does not meet the Guaranteed Heat Rate for a given contract year, Seller will pay an annual Heat Rate Penalty to Buyer of a negotiated amount expressed as of $/MMBtu/MWh (HHV). The penalty for a given contract year (Pontiac contract years as well) will be equal to the cost of additional fuel due to the lower Heat Rate calculated as:</w:t>
      </w:r>
    </w:p>
    <w:p>
      <w:pPr>
        <w:pStyle w:val="Heading7"/>
        <w:ind w:hanging="2160" w:end="0"/>
        <w:rPr>
          <w:b w:val="false"/>
        </w:rPr>
      </w:pPr>
      <w:r>
        <w:rPr>
          <w:b w:val="false"/>
        </w:rPr>
      </w:r>
    </w:p>
    <w:p>
      <w:pPr>
        <w:pStyle w:val="Heading7"/>
        <w:ind w:hanging="0" w:end="0"/>
        <w:rPr>
          <w:b w:val="false"/>
        </w:rPr>
      </w:pPr>
      <w:r>
        <w:rPr>
          <w:b w:val="false"/>
        </w:rPr>
        <w:t>Contract Energy delivered per contract year (MWh/year) * Fuel Index (To be Negotiated) * (Contract Heat Rate – Guaranteed Heat Rate (MMBtu/MWh))</w:t>
        <w:tab/>
        <w:tab/>
        <w:tab/>
        <w:tab/>
      </w:r>
    </w:p>
    <w:p>
      <w:pPr>
        <w:pStyle w:val="Normal"/>
        <w:rPr>
          <w:b/>
        </w:rPr>
      </w:pPr>
      <w:r>
        <w:rPr>
          <w:b/>
        </w:rPr>
      </w:r>
    </w:p>
    <w:p>
      <w:pPr>
        <w:pStyle w:val="Heading7"/>
        <w:ind w:hanging="0" w:end="0"/>
        <w:rPr>
          <w:b w:val="false"/>
        </w:rPr>
      </w:pPr>
      <w:r>
        <w:rPr>
          <w:b w:val="false"/>
        </w:rPr>
        <w:t>Bonus/penalty amounts also will be subject to a negotiated cap for each calculation period.</w:t>
      </w:r>
    </w:p>
    <w:p>
      <w:pPr>
        <w:pStyle w:val="Heading7"/>
        <w:ind w:hanging="2160" w:end="0"/>
        <w:rPr>
          <w:b w:val="false"/>
        </w:rPr>
      </w:pPr>
      <w:r>
        <w:rPr>
          <w:b w:val="false"/>
        </w:rPr>
      </w:r>
    </w:p>
    <w:p>
      <w:pPr>
        <w:pStyle w:val="Heading7"/>
        <w:ind w:hanging="0" w:end="0"/>
        <w:rPr>
          <w:b w:val="false"/>
        </w:rPr>
      </w:pPr>
      <w:r>
        <w:rPr>
          <w:b w:val="false"/>
        </w:rPr>
        <w:t>Fuel Index:</w:t>
      </w:r>
    </w:p>
    <w:p>
      <w:pPr>
        <w:pStyle w:val="Normal"/>
        <w:rPr>
          <w:b/>
        </w:rPr>
      </w:pPr>
      <w:r>
        <w:rPr>
          <w:b/>
        </w:rPr>
      </w:r>
    </w:p>
    <w:p>
      <w:pPr>
        <w:pStyle w:val="Normal"/>
        <w:tabs>
          <w:tab w:val="clear" w:pos="720"/>
          <w:tab w:val="left" w:pos="-1440" w:leader="none"/>
        </w:tabs>
        <w:ind w:hanging="2880" w:start="2880" w:end="0"/>
        <w:rPr/>
      </w:pPr>
      <w:r>
        <w:rPr/>
        <w:tab/>
        <w:tab/>
        <w:tab/>
        <w:tab/>
        <w:t>For energy scheduled and delivered to Buyer from a Project in a given hour (including energy delivered during periods of ramp and ramp down), the Fuel Index shall be equal to one of the following based upon the timing of Buyer’s schedules to Seller:</w:t>
      </w:r>
    </w:p>
    <w:p>
      <w:pPr>
        <w:pStyle w:val="Normal"/>
        <w:tabs>
          <w:tab w:val="clear" w:pos="720"/>
          <w:tab w:val="left" w:pos="-1440" w:leader="none"/>
        </w:tabs>
        <w:ind w:hanging="2880" w:start="2880" w:end="0"/>
        <w:rPr/>
      </w:pPr>
      <w:r>
        <w:rPr/>
      </w:r>
    </w:p>
    <w:p>
      <w:pPr>
        <w:pStyle w:val="BlockText"/>
        <w:rPr/>
      </w:pPr>
      <w:r>
        <w:rPr/>
        <w:t xml:space="preserve">1) </w:t>
      </w:r>
      <w:r>
        <w:rPr>
          <w:u w:val="single"/>
        </w:rPr>
        <w:t>Day Ahead Scheduling:</w:t>
      </w:r>
      <w:r>
        <w:rPr/>
        <w:t xml:space="preserve"> (a) Fuel Index (To be Negotiated) for the day of flow, plus (b) a negotiated adder expressed in cents/MMBtu (“Day Ahead Scheduling Gas Price”).  Buyer shall provide the Day Ahead Scheduling notice by 9:00 a.m. CCT one day prior to dispatch.</w:t>
      </w:r>
    </w:p>
    <w:p>
      <w:pPr>
        <w:pStyle w:val="BodyText3"/>
        <w:rPr/>
      </w:pPr>
      <w:r>
        <w:rPr/>
      </w:r>
    </w:p>
    <w:p>
      <w:pPr>
        <w:pStyle w:val="Normal"/>
        <w:ind w:start="2880" w:end="54"/>
        <w:rPr/>
      </w:pPr>
      <w:r>
        <w:rPr/>
        <w:t xml:space="preserve">Buyer shall have the right to change its Day Ahead Schedule during the course of the following day provided the Fuel Index reflects the higher of Day Ahead Scheduling Gas Price for day of flow or following day for (a) incremental gas purchased as a result of Buyer’s change in energy schedule or (b) gas turn-back as a result of Buyer’s change in energy schedule. Buyer will give Seller up to (To be Negotiated) of hours notice and shall specify the schedule change. </w:t>
      </w:r>
    </w:p>
    <w:p>
      <w:pPr>
        <w:pStyle w:val="Normal"/>
        <w:ind w:start="2880" w:end="54"/>
        <w:rPr/>
      </w:pPr>
      <w:r>
        <w:rPr/>
      </w:r>
    </w:p>
    <w:p>
      <w:pPr>
        <w:pStyle w:val="Normal"/>
        <w:ind w:start="2880" w:end="54"/>
        <w:rPr>
          <w:b/>
        </w:rPr>
      </w:pPr>
      <w:r>
        <w:rPr/>
        <w:t xml:space="preserve">2) </w:t>
      </w:r>
      <w:r>
        <w:rPr>
          <w:u w:val="single"/>
        </w:rPr>
        <w:t>One Hour Scheduling:</w:t>
      </w:r>
      <w:r>
        <w:rPr/>
        <w:t xml:space="preserve"> (a) the greater of negotiated fuel indices for either day of flow or next published day of (To be Negotiated), plus (b) a negotiated adder expressed in cents/MMBtu (“One Hour Scheduling Gas Price”).  Buyer shall provide a non-binding estimate (“best efforts”) of the One Hour Scheduling requirements by 9:00 a.m. CCT on day prior to dispatch.</w:t>
      </w:r>
    </w:p>
    <w:p>
      <w:pPr>
        <w:pStyle w:val="Normal"/>
        <w:rPr>
          <w:b/>
        </w:rPr>
      </w:pPr>
      <w:r>
        <w:rPr>
          <w:b/>
        </w:rPr>
      </w:r>
    </w:p>
    <w:p>
      <w:pPr>
        <w:pStyle w:val="Normal"/>
        <w:tabs>
          <w:tab w:val="clear" w:pos="720"/>
          <w:tab w:val="left" w:pos="-1440" w:leader="none"/>
        </w:tabs>
        <w:ind w:hanging="2880" w:start="2880" w:end="0"/>
        <w:rPr/>
      </w:pPr>
      <w:r>
        <w:rPr>
          <w:b/>
        </w:rPr>
        <w:t>Standard Site Conditions:</w:t>
      </w:r>
      <w:r>
        <w:rPr/>
        <w:tab/>
        <w:t>The Standard Site Conditions are __ degrees Fahrenheit, __ percent relative humidity, __ feet above mean seal level, new and clean conditions (less than 5 starts or 100 hours of operation), and measurement tolerance of +/- 3% on output and +/- 4% on heat rate.</w:t>
      </w:r>
    </w:p>
    <w:p>
      <w:pPr>
        <w:pStyle w:val="Normal"/>
        <w:rPr>
          <w:u w:val="single"/>
        </w:rPr>
      </w:pPr>
      <w:r>
        <w:rPr>
          <w:u w:val="single"/>
        </w:rPr>
      </w:r>
    </w:p>
    <w:p>
      <w:pPr>
        <w:pStyle w:val="Normal"/>
        <w:ind w:hanging="2880" w:start="2880" w:end="0"/>
        <w:rPr/>
      </w:pPr>
      <w:r>
        <w:rPr>
          <w:b/>
        </w:rPr>
        <w:t>Delivery Point(s):</w:t>
      </w:r>
      <w:r>
        <w:rPr>
          <w:sz w:val="28"/>
        </w:rPr>
        <w:tab/>
        <w:tab/>
      </w:r>
      <w:r>
        <w:rPr/>
        <w:t>For the Arpin Project</w:t>
      </w:r>
      <w:r>
        <w:rPr>
          <w:sz w:val="28"/>
        </w:rPr>
        <w:t xml:space="preserve"> </w:t>
      </w:r>
      <w:r>
        <w:rPr/>
        <w:t xml:space="preserve">the Delivery Point for the EPA is bus #_______ at the Arpin substation, the nearest substation to the plant, or any point that is into American Transmission Company’s Control Area such Delivery Point(s) to be at Seller’s discretion. </w:t>
      </w:r>
    </w:p>
    <w:p>
      <w:pPr>
        <w:pStyle w:val="Normal"/>
        <w:ind w:hanging="2880" w:start="2880" w:end="0"/>
        <w:rPr>
          <w:b/>
        </w:rPr>
      </w:pPr>
      <w:r>
        <w:rPr>
          <w:b/>
        </w:rPr>
      </w:r>
    </w:p>
    <w:p>
      <w:pPr>
        <w:pStyle w:val="Normal"/>
        <w:ind w:start="2880" w:end="0"/>
        <w:rPr>
          <w:u w:val="single"/>
        </w:rPr>
      </w:pPr>
      <w:r>
        <w:rPr/>
        <w:t xml:space="preserve">Buyer shall be responsible for arranging and paying for transmission services from the Delivery Point(s), including any applicable transmission costs, system charges or line/system losses from the Delivery Point.  Title to and risk of loss to energy shall transfer to Buyer at the Delivery Point.  </w:t>
      </w:r>
      <w:r>
        <w:rPr>
          <w:b/>
          <w:bCs/>
        </w:rPr>
        <w:t>[What firm transmission rights might be assigned to this facility in the event it is used to cover any one of the Nuclear Facilities output?]</w:t>
      </w:r>
    </w:p>
    <w:p>
      <w:pPr>
        <w:pStyle w:val="Normal"/>
        <w:rPr>
          <w:u w:val="single"/>
        </w:rPr>
      </w:pPr>
      <w:r>
        <w:rPr>
          <w:u w:val="single"/>
        </w:rPr>
      </w:r>
    </w:p>
    <w:p>
      <w:pPr>
        <w:pStyle w:val="Heading8"/>
        <w:rPr>
          <w:b/>
        </w:rPr>
      </w:pPr>
      <w:r>
        <w:rPr>
          <w:b/>
        </w:rPr>
        <w:t>Commercial Operation</w:t>
      </w:r>
    </w:p>
    <w:p>
      <w:pPr>
        <w:pStyle w:val="Heading8"/>
        <w:rPr/>
      </w:pPr>
      <w:r>
        <w:rPr>
          <w:b/>
        </w:rPr>
        <w:t>Date Guarantee:</w:t>
        <w:tab/>
        <w:tab/>
      </w:r>
      <w:r>
        <w:rPr/>
        <w:t>Seller will guarantee a commercial operation date of June 1, 2002 or 2003 for each Project.  If the commercial operation date is not achieved, the contract may be terminated by Buyer unless Seller notifies Buyer of its intent to pay Delay Penalties to Buyer.  If Seller achieves Commercial Operation prior to June 1, 2002 or 2003, Buyer will pay an Early Completion Bonus to Seller.</w:t>
      </w:r>
    </w:p>
    <w:p>
      <w:pPr>
        <w:pStyle w:val="Normal"/>
        <w:ind w:hanging="2880" w:start="2880" w:end="0"/>
        <w:rPr>
          <w:b/>
        </w:rPr>
      </w:pPr>
      <w:r>
        <w:rPr>
          <w:b/>
        </w:rPr>
      </w:r>
    </w:p>
    <w:p>
      <w:pPr>
        <w:pStyle w:val="Normal"/>
        <w:ind w:hanging="2880" w:start="2880" w:end="0"/>
        <w:rPr>
          <w:b/>
        </w:rPr>
      </w:pPr>
      <w:r>
        <w:rPr>
          <w:b/>
        </w:rPr>
      </w:r>
    </w:p>
    <w:p>
      <w:pPr>
        <w:pStyle w:val="Normal"/>
        <w:ind w:hanging="2880" w:start="2880" w:end="0"/>
        <w:rPr/>
      </w:pPr>
      <w:r>
        <w:rPr>
          <w:b/>
        </w:rPr>
        <w:t>Delay Penalties:</w:t>
      </w:r>
      <w:r>
        <w:rPr/>
        <w:tab/>
        <w:tab/>
        <w:t>In the event that a Project does not achieve commercial operation by the Guaranteed Commercial Operation Date, unless excused by Force Majeure or Buyer’s non-performance, Seller will:</w:t>
      </w:r>
    </w:p>
    <w:p>
      <w:pPr>
        <w:pStyle w:val="Normal"/>
        <w:numPr>
          <w:ilvl w:val="0"/>
          <w:numId w:val="3"/>
        </w:numPr>
        <w:ind w:hanging="360" w:start="3240" w:end="0"/>
        <w:rPr/>
      </w:pPr>
      <w:r>
        <w:rPr/>
        <w:t>provide Replacement Power for the duration of the Commercial Operation Delay Period, or</w:t>
      </w:r>
    </w:p>
    <w:p>
      <w:pPr>
        <w:pStyle w:val="Normal"/>
        <w:numPr>
          <w:ilvl w:val="0"/>
          <w:numId w:val="3"/>
        </w:numPr>
        <w:ind w:hanging="360" w:start="3240" w:end="0"/>
        <w:rPr/>
      </w:pPr>
      <w:r>
        <w:rPr/>
        <w:t>incur a Delivery Delay Liquidated Damage of $______ per day, subject to a negotiated cap.</w:t>
      </w:r>
    </w:p>
    <w:p>
      <w:pPr>
        <w:pStyle w:val="Normal"/>
        <w:ind w:start="360" w:end="0"/>
        <w:rPr/>
      </w:pPr>
      <w:r>
        <w:rPr/>
      </w:r>
    </w:p>
    <w:p>
      <w:pPr>
        <w:pStyle w:val="Normal"/>
        <w:ind w:start="2880" w:end="0"/>
        <w:rPr/>
      </w:pPr>
      <w:r>
        <w:rPr/>
        <w:t>If Seller chooses to provide Replacement Power, Seller will have the option to:</w:t>
      </w:r>
    </w:p>
    <w:p>
      <w:pPr>
        <w:pStyle w:val="Normal"/>
        <w:numPr>
          <w:ilvl w:val="0"/>
          <w:numId w:val="4"/>
        </w:numPr>
        <w:ind w:hanging="360" w:start="3240" w:end="0"/>
        <w:rPr/>
      </w:pPr>
      <w:r>
        <w:rPr/>
        <w:t>provide the Replacement Power itself, or</w:t>
      </w:r>
    </w:p>
    <w:p>
      <w:pPr>
        <w:pStyle w:val="Normal"/>
        <w:numPr>
          <w:ilvl w:val="0"/>
          <w:numId w:val="4"/>
        </w:numPr>
        <w:tabs>
          <w:tab w:val="clear" w:pos="720"/>
          <w:tab w:val="left" w:pos="6480" w:leader="none"/>
          <w:tab w:val="left" w:pos="9648" w:leader="none"/>
        </w:tabs>
        <w:ind w:hanging="360" w:start="3240" w:end="0"/>
        <w:rPr/>
      </w:pPr>
      <w:r>
        <w:rPr/>
        <w:t>request Buyer to provide the Replacement Power in which case Seller shall compensate Buyer for the reasonable cost of incremental replacement power costs for the duration of the Commercial Operation Delay Period.</w:t>
      </w:r>
    </w:p>
    <w:p>
      <w:pPr>
        <w:pStyle w:val="Normal"/>
        <w:ind w:hanging="2880" w:start="2880" w:end="0"/>
        <w:rPr>
          <w:b/>
        </w:rPr>
      </w:pPr>
      <w:r>
        <w:rPr>
          <w:b/>
        </w:rPr>
      </w:r>
    </w:p>
    <w:p>
      <w:pPr>
        <w:pStyle w:val="Normal"/>
        <w:ind w:hanging="2880" w:start="2880" w:end="0"/>
        <w:rPr/>
      </w:pPr>
      <w:r>
        <w:rPr>
          <w:b/>
        </w:rPr>
        <w:t>Early Completion Bonus:</w:t>
      </w:r>
      <w:r>
        <w:rPr/>
        <w:tab/>
        <w:t>In the event Seller achieves commercial operation prior to the Guaranteed Commercial Operation Date, Buyer shall pay to Seller an Early Completion Bonus of $________ per day for each day that the commercial operation date occurs before June 1, 2002 or 2003, subject to a negotiated cap.</w:t>
      </w:r>
    </w:p>
    <w:p>
      <w:pPr>
        <w:pStyle w:val="Normal"/>
        <w:ind w:start="2880" w:end="0"/>
        <w:rPr/>
      </w:pPr>
      <w:r>
        <w:rPr>
          <w:sz w:val="28"/>
        </w:rPr>
        <w:tab/>
        <w:tab/>
        <w:tab/>
      </w:r>
      <w:r>
        <w:rPr>
          <w:b/>
        </w:rPr>
        <w:tab/>
      </w:r>
    </w:p>
    <w:p>
      <w:pPr>
        <w:pStyle w:val="Normal"/>
        <w:tabs>
          <w:tab w:val="clear" w:pos="720"/>
          <w:tab w:val="left" w:pos="-1440" w:leader="none"/>
        </w:tabs>
        <w:ind w:hanging="2880" w:start="2880" w:end="0"/>
        <w:rPr/>
      </w:pPr>
      <w:r>
        <w:rPr>
          <w:b/>
        </w:rPr>
        <w:t>Start-Up Charges:</w:t>
      </w:r>
      <w:r>
        <w:rPr/>
        <w:tab/>
        <w:tab/>
        <w:t>For contract energy supplied by Seller from a given Project, Buyer shall pay Seller a Start-Up Charge $____/start made up of two parts – an Energy Start Charge and a Maintenance Start Charge.  The Start-Up Charge(s) shall be in June 1, 2002 dollars and shall escalate annually at a rate equal to the PPI.</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tab/>
        <w:tab/>
        <w:tab/>
        <w:tab/>
        <w:t>Energy Start Charge =  $___ MMBtu/Start times the Fuel Index</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ab/>
        <w:tab/>
        <w:tab/>
        <w:tab/>
        <w:t xml:space="preserve">Maintenance Start Charge = </w:t>
      </w:r>
    </w:p>
    <w:p>
      <w:pPr>
        <w:pStyle w:val="Normal"/>
        <w:tabs>
          <w:tab w:val="clear" w:pos="720"/>
          <w:tab w:val="left" w:pos="-1440" w:leader="none"/>
        </w:tabs>
        <w:rPr/>
      </w:pPr>
      <w:r>
        <w:rPr>
          <w:sz w:val="28"/>
        </w:rPr>
        <w:tab/>
        <w:tab/>
        <w:tab/>
        <w:tab/>
      </w:r>
      <w:r>
        <w:rPr/>
        <w:t>First 150 starts:</w:t>
        <w:tab/>
        <w:t>$__ per start per unit per year</w:t>
      </w:r>
    </w:p>
    <w:p>
      <w:pPr>
        <w:pStyle w:val="Normal"/>
        <w:tabs>
          <w:tab w:val="clear" w:pos="720"/>
          <w:tab w:val="left" w:pos="-1440" w:leader="none"/>
        </w:tabs>
        <w:rPr/>
      </w:pPr>
      <w:r>
        <w:rPr/>
        <w:tab/>
        <w:tab/>
        <w:tab/>
        <w:tab/>
        <w:t>Next 50 starts:</w:t>
        <w:tab/>
        <w:tab/>
        <w:t>$__ per start per unit per year</w:t>
      </w:r>
    </w:p>
    <w:p>
      <w:pPr>
        <w:pStyle w:val="Normal"/>
        <w:tabs>
          <w:tab w:val="clear" w:pos="720"/>
          <w:tab w:val="left" w:pos="-1440" w:leader="none"/>
        </w:tabs>
        <w:ind w:hanging="2880" w:start="2880" w:end="0"/>
        <w:rPr/>
      </w:pPr>
      <w:r>
        <w:rPr/>
        <w:tab/>
      </w:r>
      <w:r>
        <w:rPr>
          <w:b/>
        </w:rPr>
        <w:tab/>
        <w:tab/>
        <w:tab/>
      </w:r>
      <w:r>
        <w:rPr/>
        <w:t>Any other starts:</w:t>
        <w:tab/>
        <w:t>$__ per start per unit per year</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Fuel Procurement and</w:t>
      </w:r>
    </w:p>
    <w:p>
      <w:pPr>
        <w:pStyle w:val="Normal"/>
        <w:tabs>
          <w:tab w:val="clear" w:pos="720"/>
          <w:tab w:val="left" w:pos="-1440" w:leader="none"/>
        </w:tabs>
        <w:ind w:hanging="2880" w:start="2880" w:end="0"/>
        <w:rPr/>
      </w:pPr>
      <w:r>
        <w:rPr>
          <w:b/>
        </w:rPr>
        <w:t>Transportation:</w:t>
        <w:tab/>
        <w:tab/>
      </w:r>
      <w:r>
        <w:rPr/>
        <w:t>Buyer shall arrange and pay for the cost of fuel procurement and transportation to the inlet of each Project. Buyer shall be responsible for all costs associated with construction and maintenance associated with interconnecting the Projects with the supply pipeline.</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r>
    </w:p>
    <w:p>
      <w:pPr>
        <w:pStyle w:val="Normal"/>
        <w:ind w:hanging="2880" w:start="2880" w:end="0"/>
        <w:rPr/>
      </w:pPr>
      <w:r>
        <w:rPr/>
        <w:tab/>
        <w:tab/>
        <w:tab/>
        <w:tab/>
        <w:t>Buyer shall provide any Balancing, Storage and/or Transport required to procure fuel for the Project.</w:t>
      </w:r>
    </w:p>
    <w:p>
      <w:pPr>
        <w:pStyle w:val="Normal"/>
        <w:ind w:hanging="2880" w:start="2880" w:end="0"/>
        <w:rPr/>
      </w:pPr>
      <w:r>
        <w:rPr/>
        <w:t xml:space="preserve"> </w:t>
      </w:r>
    </w:p>
    <w:p>
      <w:pPr>
        <w:pStyle w:val="Normal"/>
        <w:ind w:start="2880" w:end="0"/>
        <w:rPr/>
      </w:pPr>
      <w:r>
        <w:rPr/>
        <w:t>Seller shall pay for any Balancing, Storage and Transport charges or penalties caused by unscheduled unit outages.</w:t>
      </w:r>
    </w:p>
    <w:p>
      <w:pPr>
        <w:pStyle w:val="Normal"/>
        <w:ind w:start="2880" w:end="0"/>
        <w:rPr/>
      </w:pPr>
      <w:r>
        <w:rPr/>
      </w:r>
    </w:p>
    <w:p>
      <w:pPr>
        <w:pStyle w:val="Normal"/>
        <w:tabs>
          <w:tab w:val="clear" w:pos="720"/>
          <w:tab w:val="left" w:pos="-1440" w:leader="none"/>
        </w:tabs>
        <w:ind w:hanging="2880" w:start="2880" w:end="0"/>
        <w:rPr>
          <w:b/>
        </w:rPr>
      </w:pPr>
      <w:r>
        <w:rPr>
          <w:b/>
        </w:rPr>
        <w:t>Monthly Availability</w:t>
      </w:r>
    </w:p>
    <w:p>
      <w:pPr>
        <w:pStyle w:val="Normal"/>
        <w:tabs>
          <w:tab w:val="clear" w:pos="720"/>
          <w:tab w:val="left" w:pos="-1440" w:leader="none"/>
        </w:tabs>
        <w:ind w:hanging="2880" w:start="2880" w:end="0"/>
        <w:rPr/>
      </w:pPr>
      <w:r>
        <w:rPr>
          <w:b/>
        </w:rPr>
        <w:t>Guarantees:</w:t>
        <w:tab/>
        <w:tab/>
        <w:tab/>
      </w:r>
      <w:r>
        <w:rPr/>
        <w:t>For each Project,</w:t>
      </w:r>
      <w:r>
        <w:rPr>
          <w:b/>
        </w:rPr>
        <w:t xml:space="preserve"> </w:t>
      </w:r>
      <w:r>
        <w:rPr/>
        <w:t>Seller will provide separate Monthly Availability Guarantees to Buyer.  Calculation of Monthly Availability will exclude periods subject to (a) Force Majeure events, and (b) breaches by Buyer (collectively “Excused Availability Events”).  Seller shall use commercially reasonable efforts to schedule major and routine maintenance outside the months of June, July, August, September, December, January, and February.</w:t>
      </w:r>
    </w:p>
    <w:p>
      <w:pPr>
        <w:pStyle w:val="Normal"/>
        <w:tabs>
          <w:tab w:val="clear" w:pos="720"/>
          <w:tab w:val="left" w:pos="-1440" w:leader="none"/>
        </w:tabs>
        <w:ind w:hanging="2880" w:start="2880" w:end="0"/>
        <w:rPr>
          <w:b/>
        </w:rPr>
      </w:pPr>
      <w:r>
        <w:rPr>
          <w:b/>
        </w:rPr>
      </w:r>
    </w:p>
    <w:p>
      <w:pPr>
        <w:pStyle w:val="Normal"/>
        <w:numPr>
          <w:ilvl w:val="0"/>
          <w:numId w:val="6"/>
        </w:numPr>
        <w:ind w:hanging="360" w:start="3240" w:end="0"/>
        <w:rPr/>
      </w:pPr>
      <w:r>
        <w:rPr/>
        <w:t>For the months of June, July, August and September, the Monthly Availability guarantee will be __%, including Scheduled Unavailability, during On-Peak Hours [(defined as HE 700 through HE ____ Central Prevailing Time, Monday through Friday excluding NERC holidays)]; and</w:t>
      </w:r>
    </w:p>
    <w:p>
      <w:pPr>
        <w:pStyle w:val="Normal"/>
        <w:ind w:start="2880" w:end="0"/>
        <w:rPr/>
      </w:pPr>
      <w:r>
        <w:rPr/>
      </w:r>
    </w:p>
    <w:p>
      <w:pPr>
        <w:pStyle w:val="Normal"/>
        <w:numPr>
          <w:ilvl w:val="0"/>
          <w:numId w:val="6"/>
        </w:numPr>
        <w:ind w:hanging="360" w:start="3240" w:end="0"/>
        <w:rPr/>
      </w:pPr>
      <w:r>
        <w:rPr/>
        <w:t>For the months of December, January, and February, the Monthly Availability Guarantee will be __%, including Scheduled Unavailability, during On-Peak Hours [(defined as HE 700 through HE ____ Central Prevailing Time, Monday through Friday excluding NERC holidays)]; and</w:t>
      </w:r>
    </w:p>
    <w:p>
      <w:pPr>
        <w:pStyle w:val="Normal"/>
        <w:ind w:start="2880" w:end="0"/>
        <w:rPr/>
      </w:pPr>
      <w:r>
        <w:rPr/>
      </w:r>
    </w:p>
    <w:p>
      <w:pPr>
        <w:pStyle w:val="Normal"/>
        <w:numPr>
          <w:ilvl w:val="0"/>
          <w:numId w:val="6"/>
        </w:numPr>
        <w:ind w:hanging="360" w:start="3240" w:end="0"/>
        <w:rPr/>
      </w:pPr>
      <w:r>
        <w:rPr/>
        <w:t>For the Months of October, November, March, April and May, the Monthly Availability Guarantee will be __%, including Scheduled Unavailability, during On-Peak Hours (defined as HE 700 through HE ____ Central Prevailing Time, Monday through Friday excluding NERC holidays).</w:t>
      </w:r>
    </w:p>
    <w:p>
      <w:pPr>
        <w:pStyle w:val="Normal"/>
        <w:ind w:start="2880" w:end="0"/>
        <w:rPr/>
      </w:pPr>
      <w:r>
        <w:rPr/>
      </w:r>
    </w:p>
    <w:p>
      <w:pPr>
        <w:pStyle w:val="Normal"/>
        <w:ind w:start="2880" w:end="0"/>
        <w:rPr/>
      </w:pPr>
      <w:r>
        <w:rPr/>
        <w:t>All actual availability calculations shall be based on the following formula:</w:t>
      </w:r>
    </w:p>
    <w:p>
      <w:pPr>
        <w:pStyle w:val="Normal"/>
        <w:numPr>
          <w:ilvl w:val="0"/>
          <w:numId w:val="7"/>
        </w:numPr>
        <w:tabs>
          <w:tab w:val="clear" w:pos="720"/>
          <w:tab w:val="left" w:pos="3240" w:leader="none"/>
        </w:tabs>
        <w:ind w:hanging="360" w:start="3240" w:end="0"/>
        <w:rPr/>
      </w:pPr>
      <w:r>
        <w:rPr/>
        <w:t>The number of  potential MWhs in a month, less</w:t>
      </w:r>
    </w:p>
    <w:p>
      <w:pPr>
        <w:pStyle w:val="Normal"/>
        <w:numPr>
          <w:ilvl w:val="0"/>
          <w:numId w:val="7"/>
        </w:numPr>
        <w:tabs>
          <w:tab w:val="clear" w:pos="720"/>
          <w:tab w:val="left" w:pos="3240" w:leader="none"/>
        </w:tabs>
        <w:ind w:hanging="360" w:start="3240" w:end="0"/>
        <w:rPr/>
      </w:pPr>
      <w:r>
        <w:rPr/>
        <w:t>The number of  On-Peak MWhs in a period which Seller fails to deliver to the Point of Delivery pursuant to Buyer’s scheduled request in accordance with the terms of the Power Purchase Agreement and which are not subject to an Excused Availability Event or otherwise satisfied by the delivery of Replacement Power, divided by</w:t>
      </w:r>
    </w:p>
    <w:p>
      <w:pPr>
        <w:pStyle w:val="Normal"/>
        <w:numPr>
          <w:ilvl w:val="0"/>
          <w:numId w:val="7"/>
        </w:numPr>
        <w:tabs>
          <w:tab w:val="clear" w:pos="720"/>
          <w:tab w:val="left" w:pos="3240" w:leader="none"/>
        </w:tabs>
        <w:ind w:hanging="360" w:start="3240" w:end="0"/>
        <w:rPr/>
      </w:pPr>
      <w:r>
        <w:rPr/>
        <w:t xml:space="preserve">The number of potential MWhs in a month. </w:t>
      </w:r>
    </w:p>
    <w:p>
      <w:pPr>
        <w:pStyle w:val="Normal"/>
        <w:rPr/>
      </w:pPr>
      <w:r>
        <w:rPr/>
      </w:r>
    </w:p>
    <w:p>
      <w:pPr>
        <w:pStyle w:val="Normal"/>
        <w:tabs>
          <w:tab w:val="clear" w:pos="720"/>
          <w:tab w:val="left" w:pos="-1440" w:leader="none"/>
        </w:tabs>
        <w:ind w:hanging="2880" w:start="2880" w:end="0"/>
        <w:rPr>
          <w:b/>
        </w:rPr>
      </w:pPr>
      <w:r>
        <w:rPr>
          <w:b/>
        </w:rPr>
        <w:t>Availability Liquidated</w:t>
      </w:r>
    </w:p>
    <w:p>
      <w:pPr>
        <w:pStyle w:val="Normal"/>
        <w:tabs>
          <w:tab w:val="clear" w:pos="720"/>
          <w:tab w:val="left" w:pos="-1440" w:leader="none"/>
        </w:tabs>
        <w:ind w:hanging="2880" w:start="2880" w:end="0"/>
        <w:rPr>
          <w:b/>
        </w:rPr>
      </w:pPr>
      <w:r>
        <w:rPr>
          <w:b/>
        </w:rPr>
        <w:t>Damages:</w:t>
      </w:r>
      <w:r>
        <w:rPr>
          <w:sz w:val="28"/>
        </w:rPr>
        <w:tab/>
        <w:tab/>
        <w:tab/>
      </w:r>
      <w:r>
        <w:rPr/>
        <w:t>In the event Seller fails to achieve the Monthly Guaranteed Availability for a Project, Buyer will receive Availability Liquidated Damages in the form of a Capacity Payment Credit.  The Availability Liquidated Damages will be calculated such that for each 1% of decrease in actual monthly availability (80 hours in a 5X16 week*4 weeks*558 MW) below the Monthly Availability Guarantee, the Monthly Availability Liquidated Damages shall be equal to $______ (Negotiated Amount), subject to a negotiated monthly LD limit.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Availability Bonuses:</w:t>
      </w:r>
      <w:r>
        <w:rPr>
          <w:sz w:val="28"/>
        </w:rPr>
        <w:tab/>
      </w:r>
      <w:r>
        <w:rPr/>
        <w:t>In the event Seller achieves an actual monthly availability for a Project that is greater than the Monthly Availability Guarantee, Buyer will pay to Seller an Availability Bonus in the month following the guaranteed month.  The Monthly Availability Bonus will be calculated such that for each 1% of increase in actual monthly availability above the Monthly Availability Guarantee, the Monthly Availability Bonus shall be equal to ___% of the Monthly Capacity Payment, subject to a monthly bonus limit of __% of the Monthly Capacity payment.</w:t>
      </w:r>
    </w:p>
    <w:p>
      <w:pPr>
        <w:pStyle w:val="Normal"/>
        <w:tabs>
          <w:tab w:val="clear" w:pos="720"/>
          <w:tab w:val="left" w:pos="-1440" w:leader="none"/>
        </w:tabs>
        <w:ind w:hanging="2880" w:start="2880" w:end="0"/>
        <w:rPr/>
      </w:pPr>
      <w:r>
        <w:rPr/>
        <w:tab/>
        <w:tab/>
        <w:tab/>
      </w:r>
    </w:p>
    <w:p>
      <w:pPr>
        <w:pStyle w:val="Normal"/>
        <w:tabs>
          <w:tab w:val="clear" w:pos="720"/>
          <w:tab w:val="left" w:pos="-1440" w:leader="none"/>
        </w:tabs>
        <w:ind w:hanging="2880" w:start="2880" w:end="0"/>
        <w:rPr/>
      </w:pPr>
      <w:r>
        <w:rPr>
          <w:b/>
        </w:rPr>
        <w:t>Scheduling and Dispatch:</w:t>
      </w:r>
      <w:r>
        <w:rPr/>
        <w:tab/>
        <w:t>Buyer shall have the right to dispatch the Contract Capacity subject to:</w:t>
      </w:r>
    </w:p>
    <w:p>
      <w:pPr>
        <w:pStyle w:val="Normal"/>
        <w:numPr>
          <w:ilvl w:val="0"/>
          <w:numId w:val="5"/>
        </w:numPr>
        <w:ind w:hanging="360" w:start="3240" w:end="0"/>
        <w:rPr/>
      </w:pPr>
      <w:r>
        <w:rPr/>
        <w:t>Applicable laws and regulations,</w:t>
      </w:r>
    </w:p>
    <w:p>
      <w:pPr>
        <w:pStyle w:val="Normal"/>
        <w:numPr>
          <w:ilvl w:val="0"/>
          <w:numId w:val="5"/>
        </w:numPr>
        <w:ind w:hanging="360" w:start="3240" w:end="0"/>
        <w:rPr/>
      </w:pPr>
      <w:r>
        <w:rPr/>
        <w:t>Good engineering and operating practices,</w:t>
      </w:r>
    </w:p>
    <w:p>
      <w:pPr>
        <w:pStyle w:val="Normal"/>
        <w:numPr>
          <w:ilvl w:val="0"/>
          <w:numId w:val="5"/>
        </w:numPr>
        <w:ind w:hanging="360" w:start="3240" w:end="0"/>
        <w:rPr/>
      </w:pPr>
      <w:r>
        <w:rPr/>
        <w:t>Applicable operating standards for such control regions,</w:t>
      </w:r>
    </w:p>
    <w:p>
      <w:pPr>
        <w:pStyle w:val="Normal"/>
        <w:numPr>
          <w:ilvl w:val="0"/>
          <w:numId w:val="5"/>
        </w:numPr>
        <w:ind w:hanging="360" w:start="3240" w:end="0"/>
        <w:rPr/>
      </w:pPr>
      <w:r>
        <w:rPr/>
        <w:t>Project permit restrictions and turbine manufacturer specifications,</w:t>
      </w:r>
    </w:p>
    <w:p>
      <w:pPr>
        <w:pStyle w:val="Normal"/>
        <w:numPr>
          <w:ilvl w:val="0"/>
          <w:numId w:val="5"/>
        </w:numPr>
        <w:ind w:hanging="360" w:start="3240" w:end="0"/>
        <w:rPr/>
      </w:pPr>
      <w:r>
        <w:rPr/>
        <w:t>Buyer notifying Seller a minimum of one hour prior to the scheduled delivery time during the months of June, July, August and September,</w:t>
      </w:r>
    </w:p>
    <w:p>
      <w:pPr>
        <w:pStyle w:val="Normal"/>
        <w:numPr>
          <w:ilvl w:val="0"/>
          <w:numId w:val="5"/>
        </w:numPr>
        <w:ind w:hanging="360" w:start="3240" w:end="0"/>
        <w:rPr/>
      </w:pPr>
      <w:r>
        <w:rPr/>
        <w:t>Buyer notifying Seller a minimum of one day prior to the scheduled delivery time during the months of October through May,</w:t>
      </w:r>
    </w:p>
    <w:p>
      <w:pPr>
        <w:pStyle w:val="Normal"/>
        <w:numPr>
          <w:ilvl w:val="0"/>
          <w:numId w:val="5"/>
        </w:numPr>
        <w:ind w:hanging="360" w:start="3240" w:end="0"/>
        <w:rPr/>
      </w:pPr>
      <w:r>
        <w:rPr/>
        <w:t>A combined maximum permitted runtime for each turbine of ____ hours [subject to environmental limits] per Project per Contract year,</w:t>
      </w:r>
    </w:p>
    <w:p>
      <w:pPr>
        <w:pStyle w:val="Normal"/>
        <w:numPr>
          <w:ilvl w:val="0"/>
          <w:numId w:val="5"/>
        </w:numPr>
        <w:ind w:hanging="360" w:start="3240" w:end="0"/>
        <w:rPr/>
      </w:pPr>
      <w:r>
        <w:rPr/>
        <w:t>Minimum turbine load of __ MW, or that minimum point at which emissions compliance is attained,</w:t>
      </w:r>
    </w:p>
    <w:p>
      <w:pPr>
        <w:pStyle w:val="Normal"/>
        <w:numPr>
          <w:ilvl w:val="0"/>
          <w:numId w:val="5"/>
        </w:numPr>
        <w:ind w:hanging="360" w:start="3240" w:end="0"/>
        <w:rPr/>
      </w:pPr>
      <w:r>
        <w:rPr/>
        <w:t>A minimum runtime of 2 consecutive hours per turbine start,</w:t>
      </w:r>
    </w:p>
    <w:p>
      <w:pPr>
        <w:pStyle w:val="Normal"/>
        <w:numPr>
          <w:ilvl w:val="0"/>
          <w:numId w:val="5"/>
        </w:numPr>
        <w:ind w:hanging="360" w:start="3240" w:end="0"/>
        <w:rPr/>
      </w:pPr>
      <w:r>
        <w:rPr/>
        <w:t>A minimum interval of idle time of 2 hours between each turbine start, and</w:t>
      </w:r>
    </w:p>
    <w:p>
      <w:pPr>
        <w:pStyle w:val="Normal"/>
        <w:numPr>
          <w:ilvl w:val="0"/>
          <w:numId w:val="5"/>
        </w:numPr>
        <w:ind w:hanging="360" w:start="3240" w:end="0"/>
        <w:rPr/>
      </w:pPr>
      <w:r>
        <w:rPr/>
        <w:t>A maximum of 4 starts per day.</w:t>
      </w:r>
    </w:p>
    <w:p>
      <w:pPr>
        <w:pStyle w:val="Normal"/>
        <w:ind w:start="2880" w:end="0"/>
        <w:rPr/>
      </w:pPr>
      <w:r>
        <w:rPr/>
        <w:t>Buyer and Seller recognize that Seller may provide more or less Contract Energy than scheduled by Buyer from time to time and the Parties agree to work together to negotiate reasonable deviation band limits and appropriate imbalance charges in the event that the deviation band limits are exceeded.</w:t>
      </w:r>
    </w:p>
    <w:p>
      <w:pPr>
        <w:pStyle w:val="Normal"/>
        <w:tabs>
          <w:tab w:val="clear" w:pos="720"/>
          <w:tab w:val="left" w:pos="-1440" w:leader="none"/>
        </w:tabs>
        <w:ind w:hanging="2880" w:start="2880" w:end="0"/>
        <w:rPr/>
      </w:pPr>
      <w:r>
        <w:rPr/>
      </w:r>
    </w:p>
    <w:p>
      <w:pPr>
        <w:pStyle w:val="Normal"/>
        <w:ind w:hanging="2790" w:start="2880" w:end="0"/>
        <w:rPr/>
      </w:pPr>
      <w:r>
        <w:rPr/>
        <w:t xml:space="preserve"> </w:t>
      </w:r>
      <w:r>
        <w:rPr>
          <w:b/>
        </w:rPr>
        <w:t>Force Majeure:</w:t>
      </w:r>
      <w:r>
        <w:rPr/>
        <w:tab/>
        <w:tab/>
        <w:t>Seller shall be excused from performance during events that are not within the Seller’s reasonable control (“Force Majeure Events”). Force Majeure Events to include but not be limited to:</w:t>
      </w:r>
    </w:p>
    <w:p>
      <w:pPr>
        <w:pStyle w:val="Normal"/>
        <w:numPr>
          <w:ilvl w:val="0"/>
          <w:numId w:val="2"/>
        </w:numPr>
        <w:tabs>
          <w:tab w:val="clear" w:pos="720"/>
          <w:tab w:val="left" w:pos="3240" w:leader="none"/>
        </w:tabs>
        <w:ind w:hanging="360" w:start="3240" w:end="0"/>
        <w:rPr/>
      </w:pPr>
      <w:r>
        <w:rPr/>
        <w:t>Acts of God (including lightning, fires, earthquake, landslide, tornado and floods)</w:t>
      </w:r>
    </w:p>
    <w:p>
      <w:pPr>
        <w:pStyle w:val="Normal"/>
        <w:numPr>
          <w:ilvl w:val="0"/>
          <w:numId w:val="2"/>
        </w:numPr>
        <w:tabs>
          <w:tab w:val="clear" w:pos="720"/>
          <w:tab w:val="left" w:pos="3240" w:leader="none"/>
        </w:tabs>
        <w:ind w:hanging="360" w:start="3240" w:end="0"/>
        <w:rPr/>
      </w:pPr>
      <w:r>
        <w:rPr/>
        <w:t>Civil Disturbance,</w:t>
      </w:r>
    </w:p>
    <w:p>
      <w:pPr>
        <w:pStyle w:val="Normal"/>
        <w:numPr>
          <w:ilvl w:val="0"/>
          <w:numId w:val="2"/>
        </w:numPr>
        <w:tabs>
          <w:tab w:val="clear" w:pos="720"/>
          <w:tab w:val="left" w:pos="3240" w:leader="none"/>
        </w:tabs>
        <w:ind w:hanging="360" w:start="3240" w:end="0"/>
        <w:rPr/>
      </w:pPr>
      <w:r>
        <w:rPr/>
        <w:t>Sabotage,</w:t>
      </w:r>
    </w:p>
    <w:p>
      <w:pPr>
        <w:pStyle w:val="Normal"/>
        <w:numPr>
          <w:ilvl w:val="0"/>
          <w:numId w:val="2"/>
        </w:numPr>
        <w:tabs>
          <w:tab w:val="clear" w:pos="720"/>
          <w:tab w:val="left" w:pos="3240" w:leader="none"/>
        </w:tabs>
        <w:ind w:hanging="360" w:start="3240" w:end="0"/>
        <w:rPr/>
      </w:pPr>
      <w:r>
        <w:rPr/>
        <w:t>Riot,</w:t>
      </w:r>
    </w:p>
    <w:p>
      <w:pPr>
        <w:pStyle w:val="Normal"/>
        <w:numPr>
          <w:ilvl w:val="0"/>
          <w:numId w:val="2"/>
        </w:numPr>
        <w:tabs>
          <w:tab w:val="clear" w:pos="720"/>
          <w:tab w:val="left" w:pos="3240" w:leader="none"/>
        </w:tabs>
        <w:ind w:hanging="360" w:start="3240" w:end="0"/>
        <w:rPr/>
      </w:pPr>
      <w:r>
        <w:rPr/>
        <w:t>War,</w:t>
      </w:r>
    </w:p>
    <w:p>
      <w:pPr>
        <w:pStyle w:val="Normal"/>
        <w:numPr>
          <w:ilvl w:val="0"/>
          <w:numId w:val="2"/>
        </w:numPr>
        <w:tabs>
          <w:tab w:val="clear" w:pos="720"/>
          <w:tab w:val="left" w:pos="3240" w:leader="none"/>
        </w:tabs>
        <w:ind w:hanging="360" w:start="3240" w:end="0"/>
        <w:rPr/>
      </w:pPr>
      <w:r>
        <w:rPr/>
        <w:t>Insurrection,</w:t>
      </w:r>
    </w:p>
    <w:p>
      <w:pPr>
        <w:pStyle w:val="Normal"/>
        <w:numPr>
          <w:ilvl w:val="0"/>
          <w:numId w:val="2"/>
        </w:numPr>
        <w:tabs>
          <w:tab w:val="clear" w:pos="720"/>
          <w:tab w:val="left" w:pos="3240" w:leader="none"/>
        </w:tabs>
        <w:ind w:hanging="360" w:start="3240" w:end="0"/>
        <w:rPr/>
      </w:pPr>
      <w:r>
        <w:rPr/>
        <w:t>Action or Restraint by count order or public or governmental authority (so long as seller has not applied for or assisted in the application for),</w:t>
      </w:r>
    </w:p>
    <w:p>
      <w:pPr>
        <w:pStyle w:val="Normal"/>
        <w:numPr>
          <w:ilvl w:val="0"/>
          <w:numId w:val="2"/>
        </w:numPr>
        <w:tabs>
          <w:tab w:val="clear" w:pos="720"/>
          <w:tab w:val="left" w:pos="3240" w:leader="none"/>
        </w:tabs>
        <w:ind w:hanging="360" w:start="3240" w:end="0"/>
        <w:rPr/>
      </w:pPr>
      <w:r>
        <w:rPr/>
        <w:t>Strikes, labor disputes, labor or material shortages or other force majeure events effecting the Project operator, and</w:t>
      </w:r>
    </w:p>
    <w:p>
      <w:pPr>
        <w:pStyle w:val="Normal"/>
        <w:numPr>
          <w:ilvl w:val="0"/>
          <w:numId w:val="2"/>
        </w:numPr>
        <w:tabs>
          <w:tab w:val="clear" w:pos="720"/>
          <w:tab w:val="left" w:pos="3240" w:leader="none"/>
        </w:tabs>
        <w:ind w:hanging="360" w:start="3240" w:end="0"/>
        <w:rPr/>
      </w:pPr>
      <w:r>
        <w:rPr/>
        <w:t>Design defects associated with the gas turbine.</w:t>
      </w:r>
    </w:p>
    <w:p>
      <w:pPr>
        <w:pStyle w:val="Normal"/>
        <w:rPr/>
      </w:pPr>
      <w:r>
        <w:rPr/>
      </w:r>
    </w:p>
    <w:p>
      <w:pPr>
        <w:pStyle w:val="Normal"/>
        <w:rPr>
          <w:b/>
        </w:rPr>
      </w:pPr>
      <w:r>
        <w:rPr>
          <w:b/>
        </w:rPr>
        <w:t>Buyer Option to Extend</w:t>
      </w:r>
    </w:p>
    <w:p>
      <w:pPr>
        <w:pStyle w:val="Normal"/>
        <w:ind w:hanging="2880" w:start="2880" w:end="0"/>
        <w:rPr/>
      </w:pPr>
      <w:r>
        <w:rPr>
          <w:b/>
        </w:rPr>
        <w:t>Term:</w:t>
        <w:tab/>
        <w:tab/>
        <w:tab/>
        <w:tab/>
      </w:r>
      <w:r>
        <w:rPr/>
        <w:t xml:space="preserve">Buyer and Seller will each have an option to extend the Term of this agreement for an additional __ years.  Buyer or Seller must exercise their option by June 1, 20__. </w:t>
      </w:r>
    </w:p>
    <w:p>
      <w:pPr>
        <w:pStyle w:val="Normal"/>
        <w:rPr/>
      </w:pPr>
      <w:r>
        <w:rPr/>
      </w:r>
    </w:p>
    <w:p>
      <w:pPr>
        <w:pStyle w:val="Normal"/>
        <w:ind w:hanging="2880" w:start="2880" w:end="0"/>
        <w:rPr/>
      </w:pPr>
      <w:r>
        <w:rPr>
          <w:b/>
        </w:rPr>
        <w:t>Purchase Option:</w:t>
      </w:r>
      <w:r>
        <w:rPr/>
        <w:tab/>
        <w:tab/>
        <w:t>[to be negotiated]</w:t>
      </w:r>
    </w:p>
    <w:p>
      <w:pPr>
        <w:pStyle w:val="Normal"/>
        <w:rPr/>
      </w:pPr>
      <w:r>
        <w:rPr/>
      </w:r>
    </w:p>
    <w:p>
      <w:pPr>
        <w:pStyle w:val="Normal"/>
        <w:rPr>
          <w:b/>
        </w:rPr>
      </w:pPr>
      <w:r>
        <w:rPr>
          <w:b/>
        </w:rPr>
        <w:t xml:space="preserve">Marketing of Excess </w:t>
      </w:r>
    </w:p>
    <w:p>
      <w:pPr>
        <w:pStyle w:val="Normal"/>
        <w:ind w:hanging="2880" w:start="2880" w:end="0"/>
        <w:rPr/>
      </w:pPr>
      <w:r>
        <w:rPr>
          <w:b/>
        </w:rPr>
        <w:t>Power:</w:t>
        <w:tab/>
        <w:tab/>
        <w:tab/>
      </w:r>
      <w:r>
        <w:rPr>
          <w:bCs/>
        </w:rPr>
        <w:t>[Seller and Buyer share to be negotiated]</w:t>
      </w:r>
    </w:p>
    <w:p>
      <w:pPr>
        <w:pStyle w:val="Normal"/>
        <w:rPr/>
      </w:pPr>
      <w:r>
        <w:rPr/>
      </w:r>
    </w:p>
    <w:p>
      <w:pPr>
        <w:pStyle w:val="Normal"/>
        <w:rPr>
          <w:b/>
        </w:rPr>
      </w:pPr>
      <w:r>
        <w:rPr>
          <w:b/>
        </w:rPr>
        <w:t>Unit Protection</w:t>
      </w:r>
    </w:p>
    <w:p>
      <w:pPr>
        <w:pStyle w:val="Normal"/>
        <w:rPr/>
      </w:pPr>
      <w:r>
        <w:rPr>
          <w:b/>
        </w:rPr>
        <w:t xml:space="preserve"> </w:t>
      </w:r>
      <w:r>
        <w:rPr>
          <w:b/>
        </w:rPr>
        <w:t>Product Option:</w:t>
      </w:r>
      <w:r>
        <w:rPr/>
        <w:tab/>
        <w:tab/>
        <w:t>Seller shall offer Buyer a contingent call option that is triggered</w:t>
      </w:r>
    </w:p>
    <w:p>
      <w:pPr>
        <w:pStyle w:val="Normal"/>
        <w:tabs>
          <w:tab w:val="clear" w:pos="720"/>
          <w:tab w:val="left" w:pos="900" w:leader="none"/>
        </w:tabs>
        <w:jc w:val="both"/>
        <w:rPr/>
      </w:pPr>
      <w:r>
        <w:rPr/>
        <w:tab/>
        <w:tab/>
        <w:tab/>
        <w:tab/>
        <w:t>only when an unforeseen event (specifically, the forced outage of a</w:t>
      </w:r>
    </w:p>
    <w:p>
      <w:pPr>
        <w:pStyle w:val="Normal"/>
        <w:tabs>
          <w:tab w:val="clear" w:pos="720"/>
          <w:tab w:val="left" w:pos="900" w:leader="none"/>
        </w:tabs>
        <w:jc w:val="both"/>
        <w:rPr/>
      </w:pPr>
      <w:r>
        <w:rPr/>
        <w:tab/>
        <w:tab/>
        <w:tab/>
        <w:tab/>
        <w:t>generating unit) occurs and the price of electricity is above a given</w:t>
      </w:r>
    </w:p>
    <w:p>
      <w:pPr>
        <w:pStyle w:val="Normal"/>
        <w:tabs>
          <w:tab w:val="clear" w:pos="720"/>
          <w:tab w:val="left" w:pos="900" w:leader="none"/>
        </w:tabs>
        <w:jc w:val="both"/>
        <w:rPr/>
      </w:pPr>
      <w:r>
        <w:rPr/>
        <w:tab/>
        <w:tab/>
        <w:tab/>
        <w:tab/>
        <w:t xml:space="preserve">strike.  </w:t>
      </w:r>
    </w:p>
    <w:p>
      <w:pPr>
        <w:pStyle w:val="Normal"/>
        <w:rPr/>
      </w:pPr>
      <w:r>
        <w:rPr/>
      </w:r>
    </w:p>
    <w:p>
      <w:pPr>
        <w:pStyle w:val="Normal"/>
        <w:widowControl/>
        <w:ind w:hanging="2880" w:start="2880" w:end="0"/>
        <w:jc w:val="both"/>
        <w:rPr/>
      </w:pPr>
      <w:r>
        <w:rPr>
          <w:b/>
        </w:rPr>
        <w:t>Minimum Credit Rating:</w:t>
      </w:r>
      <w:r>
        <w:rPr/>
        <w:tab/>
        <w:t>Buyer shall provide a Parent Guarantee for its obligations for the term of the agreement.  Buyer shall maintain an investment grade credit rating for the term of the agreement.</w:t>
      </w:r>
    </w:p>
    <w:p>
      <w:pPr>
        <w:pStyle w:val="Normal"/>
        <w:tabs>
          <w:tab w:val="clear" w:pos="720"/>
          <w:tab w:val="left" w:pos="-1440" w:leader="none"/>
        </w:tabs>
        <w:ind w:hanging="2880" w:start="2880" w:end="0"/>
        <w:rPr>
          <w:b/>
        </w:rPr>
      </w:pPr>
      <w:r>
        <w:rPr>
          <w:b/>
        </w:rPr>
        <w:t xml:space="preserve"> </w:t>
      </w:r>
    </w:p>
    <w:p>
      <w:pPr>
        <w:pStyle w:val="Normal"/>
        <w:ind w:hanging="2880" w:start="2880" w:end="0"/>
        <w:rPr/>
      </w:pPr>
      <w:r>
        <w:rPr>
          <w:b/>
        </w:rPr>
        <w:t>Change of Law:</w:t>
      </w:r>
      <w:r>
        <w:rPr/>
        <w:tab/>
        <w:tab/>
        <w:t>Buyer shall be responsible for all costs due to change of law, including, but not limited to, changes of law related to tax and environmental, applicable to activities associated with 1) the purchasing and delivery of fuel to the inlet of the Facility and 2) the sale or transmission of electrical products purchased under the Energy Purchase Agreement at and from the Point of Delivery.  Buyer shall also be responsible for all new taxes or costs resulting from change of law associated with the production, delivery and sale of electrical products, pursuant to the Power Purchase Agreement, to the Point of Delivery.  Seller shall be responsible for all existing taxes applicable to activities associated with the production, delivery and sale of electrical products, pursuant to the Power Purchase Agreement, to the Point of Delivery.</w:t>
      </w:r>
    </w:p>
    <w:p>
      <w:pPr>
        <w:pStyle w:val="Normal"/>
        <w:ind w:hanging="2880" w:start="2880" w:end="0"/>
        <w:rPr/>
      </w:pPr>
      <w:r>
        <w:rPr/>
      </w:r>
    </w:p>
    <w:p>
      <w:pPr>
        <w:pStyle w:val="Normal"/>
        <w:tabs>
          <w:tab w:val="clear" w:pos="720"/>
          <w:tab w:val="left" w:pos="-1440" w:leader="none"/>
        </w:tabs>
        <w:ind w:hanging="2880" w:start="2880" w:end="0"/>
        <w:rPr/>
      </w:pPr>
      <w:r>
        <w:rPr>
          <w:b/>
        </w:rPr>
        <w:t>Confidentiality:</w:t>
      </w:r>
      <w:r>
        <w:rPr/>
        <w:tab/>
        <w:tab/>
        <w:t>Buyer and Seller agree to keep all information relative to this term sheet confidential except for such disclosure as may be necessary to prospective partners, affiliates, lenders and consultants for the purpose of evaluating this proposal.</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start="450" w:end="0"/>
        <w:rPr/>
      </w:pPr>
      <w:r>
        <w:rPr>
          <w:b/>
        </w:rPr>
        <w:t>THIS PROPOSAL DOES NOT CONTAIN ALL MATTERS UPON WHICH AGREEMENT MUST BE REACHED IN ORDER FOR THE TRANSACTIONS TO BE COMPLETED. THIS PROPOSAL: (1) IS MERELY INTENDED TO EXPRESS THE DESIRE TO NEGOTIATE A TRANSACTION THAT MAY BE FINALIZED IN WRITTEN AGREEMENT AT A FUTURE TIME; (2) DOES NOT CREATE AND IS NOT INTENDED TO CREATE A BINDING AND ENFORCEABLE OFFER OR</w:t>
      </w:r>
      <w:r>
        <w:rPr/>
        <w:t xml:space="preserve"> </w:t>
      </w:r>
      <w:r>
        <w:rPr>
          <w:b/>
        </w:rPr>
        <w:t>COMMITMENT OF BUYER, SELLER OR ANY OF THEIR AFFILIATES TO ENTER INTO ANY TRANSACTION AND (3) MAY NOT BE RELIED UPON BY A PARTY AS THE BASIS FOR A CONTRACT BY ESTOPPEL OR OTHERWISE. A BINDING COMMITMENT WITH RESPECT TO THIS PROPOSAL CAN ONLY RESULT FROM THE EXECUTION OF A DEFINITIVE WRITTEN AGREEMENT BY BOTH PARTIES. NO ACTIONS ON THE PART OF EITHER PARTY SHALL BE DEEMED TO RENDER THIS PROPOSAL A BINDING OBLIGATION WITH RESPECT TO THE SUBJECT MATTER HEREOF.</w:t>
      </w:r>
    </w:p>
    <w:p>
      <w:pPr>
        <w:pStyle w:val="Header"/>
        <w:tabs>
          <w:tab w:val="clear" w:pos="4320"/>
          <w:tab w:val="clear" w:pos="8640"/>
        </w:tabs>
        <w:rPr>
          <w:b/>
        </w:rPr>
      </w:pPr>
      <w:r>
        <w:rPr>
          <w:b/>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NM Tolling Term Sheet 04.20.01.doc</w:t>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9</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8"/>
      </w:numPr>
      <w:jc w:val="end"/>
      <w:rPr/>
    </w:pPr>
    <w:r>
      <w:rPr/>
      <w:t>For Review and Discussion Purposes Only –</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Roman"/>
      <w:lvlText w:val="(%1) "/>
      <w:lvlJc w:val="start"/>
      <w:pPr>
        <w:tabs>
          <w:tab w:val="num" w:pos="360"/>
        </w:tabs>
        <w:ind w:start="480" w:hanging="360"/>
      </w:pPr>
      <w:rPr>
        <w:sz w:val="24"/>
        <w:i w:val="false"/>
        <w:u w:val="none"/>
        <w:b w:val="false"/>
        <w:rFonts w:ascii="Times New Roman" w:hAnsi="Times New Roman" w:cs="Times New Roman"/>
      </w:rPr>
    </w:lvl>
  </w:abstractNum>
  <w:abstractNum w:abstractNumId="4">
    <w:lvl w:ilvl="0">
      <w:start w:val="1"/>
      <w:numFmt w:val="lowerRoman"/>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7">
    <w:lvl w:ilvl="0">
      <w:start w:val="1"/>
      <w:numFmt w:val="decimal"/>
      <w:lvlText w:val="(%1)"/>
      <w:lvlJc w:val="start"/>
      <w:pPr>
        <w:tabs>
          <w:tab w:val="num" w:pos="360"/>
        </w:tabs>
        <w:ind w:start="360" w:hanging="360"/>
      </w:pPr>
      <w:rPr/>
    </w:lvl>
  </w:abstractNum>
  <w:abstractNum w:abstractNumId="8">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2001-04-25T11:57:00Z</dcterms:created>
  <dc:creator>Steffen Mueller.</dc:creator>
  <dc:description/>
  <dc:language>en-CA</dc:language>
  <cp:lastModifiedBy>Doug Sewell</cp:lastModifiedBy>
  <cp:lastPrinted>2001-04-20T08:36:00Z</cp:lastPrinted>
  <dcterms:modified xsi:type="dcterms:W3CDTF">2001-04-25T12:03:00Z</dcterms:modified>
  <cp:revision>3</cp:revision>
  <dc:subject/>
  <dc:title>Zion Energy Center</dc:title>
</cp:coreProperties>
</file>