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Term Sheet</w:t>
      </w:r>
    </w:p>
    <w:p>
      <w:pPr>
        <w:pStyle w:val="Normal"/>
        <w:jc w:val="center"/>
        <w:rPr>
          <w:b/>
        </w:rPr>
      </w:pPr>
      <w:r>
        <w:rPr>
          <w:b/>
        </w:rPr>
        <w:t>to</w:t>
      </w:r>
    </w:p>
    <w:p>
      <w:pPr>
        <w:pStyle w:val="Heading5"/>
        <w:ind w:hanging="0" w:start="0"/>
        <w:rPr/>
      </w:pPr>
      <w:r>
        <w:rPr/>
        <w:t>New Jersey Natural Gas</w:t>
      </w:r>
    </w:p>
    <w:p>
      <w:pPr>
        <w:pStyle w:val="Normal"/>
        <w:jc w:val="center"/>
        <w:rPr>
          <w:b/>
        </w:rPr>
      </w:pPr>
      <w:r>
        <w:rPr>
          <w:b/>
        </w:rPr>
        <w:t>by</w:t>
      </w:r>
    </w:p>
    <w:p>
      <w:pPr>
        <w:pStyle w:val="Normal"/>
        <w:jc w:val="center"/>
        <w:rPr>
          <w:b/>
        </w:rPr>
      </w:pPr>
      <w:r>
        <w:rPr>
          <w:b/>
        </w:rPr>
        <w:t>Enron North America</w:t>
      </w:r>
    </w:p>
    <w:p>
      <w:pPr>
        <w:pStyle w:val="Heading1"/>
        <w:widowControl/>
        <w:tabs>
          <w:tab w:val="clear" w:pos="720"/>
          <w:tab w:val="left" w:pos="360" w:leader="none"/>
        </w:tabs>
        <w:ind w:hanging="0" w:start="0"/>
        <w:rPr>
          <w:b w:val="false"/>
          <w:caps w:val="false"/>
          <w:smallCaps w:val="false"/>
          <w:sz w:val="24"/>
        </w:rPr>
      </w:pPr>
      <w:r>
        <w:rPr>
          <w:b w:val="false"/>
          <w:caps w:val="false"/>
          <w:smallCaps w:val="false"/>
          <w:sz w:val="24"/>
        </w:rPr>
        <w:t>January 22, 2001</w:t>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spacing w:lineRule="auto" w:line="360"/>
        <w:jc w:val="both"/>
        <w:rPr/>
      </w:pPr>
      <w:r>
        <w:rPr>
          <w:b/>
          <w:sz w:val="22"/>
        </w:rPr>
        <w:t>Parties</w:t>
      </w:r>
      <w:r>
        <w:rPr>
          <w:b/>
          <w:smallCaps/>
          <w:sz w:val="22"/>
        </w:rPr>
        <w:t>:</w:t>
        <w:tab/>
      </w:r>
      <w:r>
        <w:rPr>
          <w:sz w:val="22"/>
        </w:rPr>
        <w:t>New Jersey Natural Gas (“NJNG”)</w:t>
      </w:r>
    </w:p>
    <w:p>
      <w:pPr>
        <w:pStyle w:val="Normal"/>
        <w:widowControl/>
        <w:tabs>
          <w:tab w:val="clear" w:pos="720"/>
          <w:tab w:val="left" w:pos="360" w:leader="none"/>
        </w:tabs>
        <w:spacing w:lineRule="auto" w:line="360"/>
        <w:jc w:val="both"/>
        <w:rPr/>
      </w:pPr>
      <w:r>
        <w:rPr>
          <w:b/>
          <w:sz w:val="22"/>
        </w:rPr>
        <w:tab/>
        <w:tab/>
        <w:tab/>
      </w:r>
      <w:r>
        <w:rPr>
          <w:sz w:val="22"/>
        </w:rPr>
        <w:t>Enron North America (“ENA”)</w:t>
      </w:r>
    </w:p>
    <w:p>
      <w:pPr>
        <w:pStyle w:val="Normal"/>
        <w:rPr>
          <w:sz w:val="22"/>
        </w:rPr>
      </w:pPr>
      <w:r>
        <w:rPr>
          <w:sz w:val="22"/>
        </w:rPr>
      </w:r>
    </w:p>
    <w:p>
      <w:pPr>
        <w:pStyle w:val="Heading1"/>
        <w:ind w:hanging="0" w:start="0"/>
        <w:rPr>
          <w:caps w:val="false"/>
          <w:smallCaps w:val="false"/>
        </w:rPr>
      </w:pPr>
      <w:r>
        <w:rPr>
          <w:caps w:val="false"/>
          <w:smallCaps w:val="false"/>
        </w:rPr>
        <w:t>Description of Transaction</w:t>
      </w:r>
    </w:p>
    <w:p>
      <w:pPr>
        <w:pStyle w:val="Normal"/>
        <w:rPr>
          <w:b/>
          <w:smallCaps/>
          <w:sz w:val="22"/>
        </w:rPr>
      </w:pPr>
      <w:r>
        <w:rPr>
          <w:b/>
          <w:smallCaps/>
          <w:sz w:val="22"/>
        </w:rPr>
      </w:r>
    </w:p>
    <w:p>
      <w:pPr>
        <w:pStyle w:val="BodyText3"/>
        <w:jc w:val="both"/>
        <w:rPr/>
      </w:pPr>
      <w:r>
        <w:rPr/>
        <w:t>NJNG and ENA have expressed interest in jointly developing certain fuel cell projects within the State of New Jersey, including arranging for or providing contracts for the engineering, procurement, construction, installation and testing of fuel cell electrical generation facilities comprised of multiple fuel cell power plants, fuel supply and power marketing.  The purpose of this term sheet is to outline general activities and responsibilities of NJNG and ENA in order to accomplish these goals.</w:t>
      </w:r>
    </w:p>
    <w:p>
      <w:pPr>
        <w:pStyle w:val="BodyText3"/>
        <w:jc w:val="both"/>
        <w:rPr/>
      </w:pPr>
      <w:r>
        <w:rPr/>
      </w:r>
    </w:p>
    <w:p>
      <w:pPr>
        <w:pStyle w:val="Normal"/>
        <w:rPr>
          <w:sz w:val="22"/>
        </w:rPr>
      </w:pPr>
      <w:r>
        <w:rPr>
          <w:sz w:val="22"/>
        </w:rPr>
      </w:r>
    </w:p>
    <w:p>
      <w:pPr>
        <w:pStyle w:val="Heading1"/>
        <w:ind w:hanging="0" w:start="0"/>
        <w:rPr>
          <w:caps w:val="false"/>
          <w:smallCaps w:val="false"/>
        </w:rPr>
      </w:pPr>
      <w:r>
        <w:rPr>
          <w:caps w:val="false"/>
          <w:smallCaps w:val="false"/>
        </w:rPr>
        <w:t>Project Development</w:t>
      </w:r>
    </w:p>
    <w:p>
      <w:pPr>
        <w:pStyle w:val="Normal"/>
        <w:rPr>
          <w:b/>
          <w:smallCaps/>
          <w:sz w:val="22"/>
        </w:rPr>
      </w:pPr>
      <w:r>
        <w:rPr>
          <w:b/>
          <w:smallCaps/>
          <w:sz w:val="22"/>
        </w:rPr>
      </w:r>
    </w:p>
    <w:p>
      <w:pPr>
        <w:pStyle w:val="BodyText3"/>
        <w:jc w:val="both"/>
        <w:rPr/>
      </w:pPr>
      <w:r>
        <w:rPr/>
        <w:t>ENA and NJNG will locate sites within NJNG’s service territory for the development of fuel cell power plants.  ENA will supervise the development of approved sites for the installation of the plants, including any rezoning, environmental impact studies, permitting and electrical interconnection contracts.</w:t>
      </w:r>
    </w:p>
    <w:p>
      <w:pPr>
        <w:pStyle w:val="BodyText3"/>
        <w:rPr/>
      </w:pPr>
      <w:r>
        <w:rPr/>
      </w:r>
    </w:p>
    <w:p>
      <w:pPr>
        <w:pStyle w:val="BodyText3"/>
        <w:rPr/>
      </w:pPr>
      <w:r>
        <w:rPr/>
      </w:r>
    </w:p>
    <w:p>
      <w:pPr>
        <w:pStyle w:val="Heading1"/>
        <w:ind w:hanging="0" w:start="0"/>
        <w:rPr>
          <w:caps w:val="false"/>
          <w:smallCaps w:val="false"/>
        </w:rPr>
      </w:pPr>
      <w:r>
        <w:rPr>
          <w:caps w:val="false"/>
          <w:smallCaps w:val="false"/>
        </w:rPr>
        <w:t>Manufacturers Negotiations</w:t>
      </w:r>
    </w:p>
    <w:p>
      <w:pPr>
        <w:pStyle w:val="BodyText3"/>
        <w:rPr>
          <w:smallCaps/>
        </w:rPr>
      </w:pPr>
      <w:r>
        <w:rPr>
          <w:smallCaps/>
        </w:rPr>
      </w:r>
    </w:p>
    <w:p>
      <w:pPr>
        <w:pStyle w:val="BodyText3"/>
        <w:jc w:val="both"/>
        <w:rPr/>
      </w:pPr>
      <w:r>
        <w:rPr/>
        <w:t>ENA will negotiate orders with the fuel cell manufacturers to meet project milestones and establish quality control programs for product performance to meet minimum stated guarantees.</w:t>
      </w:r>
    </w:p>
    <w:p>
      <w:pPr>
        <w:pStyle w:val="BodyText3"/>
        <w:rPr/>
      </w:pPr>
      <w:r>
        <w:rPr/>
      </w:r>
    </w:p>
    <w:p>
      <w:pPr>
        <w:pStyle w:val="BodyText3"/>
        <w:rPr/>
      </w:pPr>
      <w:r>
        <w:rPr/>
      </w:r>
    </w:p>
    <w:p>
      <w:pPr>
        <w:pStyle w:val="Heading1"/>
        <w:ind w:hanging="0" w:start="0"/>
        <w:rPr>
          <w:caps w:val="false"/>
          <w:smallCaps w:val="false"/>
        </w:rPr>
      </w:pPr>
      <w:r>
        <w:rPr>
          <w:caps w:val="false"/>
          <w:smallCaps w:val="false"/>
        </w:rPr>
        <w:t>Engineering, Procurement and Construction</w:t>
      </w:r>
    </w:p>
    <w:p>
      <w:pPr>
        <w:pStyle w:val="Normal"/>
        <w:rPr>
          <w:b/>
          <w:smallCaps/>
          <w:sz w:val="22"/>
        </w:rPr>
      </w:pPr>
      <w:r>
        <w:rPr>
          <w:b/>
          <w:smallCaps/>
          <w:sz w:val="22"/>
        </w:rPr>
      </w:r>
    </w:p>
    <w:p>
      <w:pPr>
        <w:pStyle w:val="BodyText3"/>
        <w:jc w:val="both"/>
        <w:rPr/>
      </w:pPr>
      <w:r>
        <w:rPr/>
        <w:t xml:space="preserve">ENA will arrange all engineering, design, procurement, and construction activities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facilities.  </w:t>
      </w:r>
    </w:p>
    <w:p>
      <w:pPr>
        <w:pStyle w:val="Normal"/>
        <w:rPr/>
      </w:pPr>
      <w:r>
        <w:rPr/>
      </w:r>
    </w:p>
    <w:p>
      <w:pPr>
        <w:pStyle w:val="Normal"/>
        <w:rPr>
          <w:sz w:val="22"/>
        </w:rPr>
      </w:pPr>
      <w:r>
        <w:rPr>
          <w:sz w:val="22"/>
        </w:rPr>
      </w:r>
    </w:p>
    <w:p>
      <w:pPr>
        <w:pStyle w:val="Heading1"/>
        <w:ind w:hanging="0" w:start="0"/>
        <w:rPr>
          <w:caps w:val="false"/>
          <w:smallCaps w:val="false"/>
        </w:rPr>
      </w:pPr>
      <w:r>
        <w:rPr>
          <w:caps w:val="false"/>
          <w:smallCaps w:val="false"/>
        </w:rPr>
        <w:t>Fuel Supply</w:t>
      </w:r>
    </w:p>
    <w:p>
      <w:pPr>
        <w:pStyle w:val="Normal"/>
        <w:rPr>
          <w:b/>
          <w:smallCaps/>
          <w:sz w:val="22"/>
        </w:rPr>
      </w:pPr>
      <w:r>
        <w:rPr>
          <w:b/>
          <w:smallCaps/>
          <w:sz w:val="22"/>
        </w:rPr>
      </w:r>
    </w:p>
    <w:p>
      <w:pPr>
        <w:pStyle w:val="BodyText3"/>
        <w:rPr/>
      </w:pPr>
      <w:r>
        <w:rPr/>
        <w:t xml:space="preserve">NJNG will manage the supply of natural gas to the facilities including </w:t>
      </w:r>
    </w:p>
    <w:p>
      <w:pPr>
        <w:pStyle w:val="Normal"/>
        <w:rPr/>
      </w:pPr>
      <w:r>
        <w:rPr/>
      </w:r>
    </w:p>
    <w:p>
      <w:pPr>
        <w:pStyle w:val="Normal"/>
        <w:rPr/>
      </w:pPr>
      <w:r>
        <w:rPr/>
      </w:r>
    </w:p>
    <w:p>
      <w:pPr>
        <w:pStyle w:val="Normal"/>
        <w:rPr/>
      </w:pPr>
      <w:r>
        <w:rPr/>
      </w:r>
    </w:p>
    <w:p>
      <w:pPr>
        <w:pStyle w:val="Heading1"/>
        <w:ind w:hanging="0" w:start="0"/>
        <w:rPr>
          <w:caps w:val="false"/>
          <w:smallCaps w:val="false"/>
        </w:rPr>
      </w:pPr>
      <w:r>
        <w:rPr>
          <w:caps w:val="false"/>
          <w:smallCaps w:val="false"/>
        </w:rPr>
        <w:t>Power Marketing</w:t>
      </w:r>
    </w:p>
    <w:p>
      <w:pPr>
        <w:pStyle w:val="Normal"/>
        <w:rPr>
          <w:smallCaps/>
        </w:rPr>
      </w:pPr>
      <w:r>
        <w:rPr>
          <w:smallCaps/>
        </w:rPr>
      </w:r>
    </w:p>
    <w:p>
      <w:pPr>
        <w:pStyle w:val="BodyText3"/>
        <w:jc w:val="both"/>
        <w:rPr/>
      </w:pPr>
      <w:r>
        <w:rPr/>
        <w:t>The fuel cells will be interconnected into the transmission or distribution power grid, depending on the size and location of each project.  ENA will manage the scheduling, dispatch and sale of the power out of the facilities. The electrical output of these farms includes electric energy, ancillary services and a valuable green premium.  Energy and ancillary services will be dispatched into the PJM Pool.  A dispatch schedule and bidding strategy that maximizes the value of the plants in the wholesale market will be devised and implemented daily by ENA.  Revenues from the sale of the plant’s electrical output will serve to offset operating costs.</w:t>
      </w:r>
    </w:p>
    <w:p>
      <w:pPr>
        <w:pStyle w:val="Normal"/>
        <w:rPr/>
      </w:pPr>
      <w:r>
        <w:rPr/>
      </w:r>
    </w:p>
    <w:p>
      <w:pPr>
        <w:pStyle w:val="Normal"/>
        <w:rPr/>
      </w:pPr>
      <w:r>
        <w:rPr/>
      </w:r>
    </w:p>
    <w:p>
      <w:pPr>
        <w:pStyle w:val="Heading1"/>
        <w:ind w:hanging="0" w:start="0"/>
        <w:rPr>
          <w:caps w:val="false"/>
          <w:smallCaps w:val="false"/>
        </w:rPr>
      </w:pPr>
      <w:r>
        <w:rPr>
          <w:caps w:val="false"/>
          <w:smallCaps w:val="false"/>
        </w:rPr>
        <w:t>Operations and Maintenance</w:t>
      </w:r>
    </w:p>
    <w:p>
      <w:pPr>
        <w:pStyle w:val="Normal"/>
        <w:rPr>
          <w:smallCaps/>
        </w:rPr>
      </w:pPr>
      <w:r>
        <w:rPr>
          <w:smallCaps/>
        </w:rPr>
      </w:r>
    </w:p>
    <w:p>
      <w:pPr>
        <w:pStyle w:val="BodyText3"/>
        <w:jc w:val="both"/>
        <w:rPr/>
      </w:pPr>
      <w:r>
        <w:rPr/>
        <w:t>NJNG will be responsible for the ongoing operations and maintenance of the plants, including</w:t>
      </w:r>
    </w:p>
    <w:p>
      <w:pPr>
        <w:pStyle w:val="Normal"/>
        <w:rPr/>
      </w:pPr>
      <w:r>
        <w:rPr/>
      </w:r>
    </w:p>
    <w:p>
      <w:pPr>
        <w:pStyle w:val="Normal"/>
        <w:rPr/>
      </w:pPr>
      <w:r>
        <w:rPr/>
      </w:r>
    </w:p>
    <w:p>
      <w:pPr>
        <w:pStyle w:val="Normal"/>
        <w:rPr/>
      </w:pPr>
      <w:r>
        <w:rPr/>
      </w:r>
    </w:p>
    <w:p>
      <w:pPr>
        <w:pStyle w:val="Heading1"/>
        <w:ind w:hanging="0" w:start="0"/>
        <w:rPr>
          <w:caps w:val="false"/>
          <w:smallCaps w:val="false"/>
        </w:rPr>
      </w:pPr>
      <w:r>
        <w:rPr>
          <w:caps w:val="false"/>
          <w:smallCaps w:val="false"/>
        </w:rPr>
        <w:t>Funding Sources</w:t>
      </w:r>
    </w:p>
    <w:p>
      <w:pPr>
        <w:pStyle w:val="Normal"/>
        <w:rPr>
          <w:smallCaps/>
        </w:rPr>
      </w:pPr>
      <w:r>
        <w:rPr>
          <w:smallCaps/>
        </w:rPr>
      </w:r>
    </w:p>
    <w:p>
      <w:pPr>
        <w:pStyle w:val="BodyText3"/>
        <w:jc w:val="both"/>
        <w:rPr/>
      </w:pPr>
      <w:r>
        <w:rPr/>
        <w:t>NJNG and ENA will pursue state and federal sources of funds to help offset the costs of fuel cells.  The parties will petition for any state conservation and renewable funds created to encourage “green” power technologies and will file for federal rebates and tax credits as a means of reducing the installation costs of the fuel cell facilities.</w:t>
      </w:r>
    </w:p>
    <w:p>
      <w:pPr>
        <w:pStyle w:val="BodyText3"/>
        <w:jc w:val="both"/>
        <w:rPr/>
      </w:pPr>
      <w:r>
        <w:rPr/>
      </w:r>
    </w:p>
    <w:p>
      <w:pPr>
        <w:pStyle w:val="BodyText3"/>
        <w:jc w:val="both"/>
        <w:rPr/>
      </w:pPr>
      <w:r>
        <w:rPr/>
        <w:t>Currently the installed cost of a fuel cell ranges between $4,000 and $6,000 per kilowatt.  While the technology is proven and reliable, manufacturers have not been able to achieve economic commercialization due to the high capital expenditures required to build up their manufacturing process without orders to support the expenditures.  A large order supports the manufacturing investment required to automate and develop economies of scale associated with volume manufacturing and to begin the commercialization of fuel cells as a viable and economical power supply.  As the manufacturers move down the cost curve, these savings will be passed on to future customers who want to purchase fuel cell power plants on an incremental basis.</w:t>
      </w:r>
    </w:p>
    <w:p>
      <w:pPr>
        <w:pStyle w:val="BodyText3"/>
        <w:jc w:val="both"/>
        <w:rPr/>
      </w:pPr>
      <w:r>
        <w:rPr/>
      </w:r>
    </w:p>
    <w:p>
      <w:pPr>
        <w:pStyle w:val="Normal"/>
        <w:rPr/>
      </w:pPr>
      <w:r>
        <w:rPr/>
      </w:r>
    </w:p>
    <w:p>
      <w:pPr>
        <w:pStyle w:val="Heading1"/>
        <w:ind w:hanging="0" w:start="0"/>
        <w:rPr>
          <w:caps w:val="false"/>
          <w:smallCaps w:val="false"/>
        </w:rPr>
      </w:pPr>
      <w:r>
        <w:rPr>
          <w:caps w:val="false"/>
          <w:smallCaps w:val="false"/>
        </w:rPr>
        <w:t>Confidentiality</w:t>
      </w:r>
    </w:p>
    <w:p>
      <w:pPr>
        <w:pStyle w:val="Normal"/>
        <w:jc w:val="center"/>
        <w:rPr>
          <w:b/>
          <w:smallCaps/>
          <w:sz w:val="22"/>
        </w:rPr>
      </w:pPr>
      <w:r>
        <w:rPr>
          <w:b/>
          <w:smallCaps/>
          <w:sz w:val="22"/>
        </w:rPr>
      </w:r>
    </w:p>
    <w:p>
      <w:pPr>
        <w:pStyle w:val="BodyText2"/>
        <w:widowControl/>
        <w:tabs>
          <w:tab w:val="clear" w:pos="360"/>
        </w:tabs>
        <w:rPr/>
      </w:pPr>
      <w:r>
        <w:rPr/>
        <w:t>All terms and conditions of this Proposal are confidential between NJNG and ENA and their duly appointed agents.</w:t>
      </w:r>
    </w:p>
    <w:p>
      <w:pPr>
        <w:pStyle w:val="BodyText"/>
        <w:widowControl/>
        <w:rPr>
          <w:i w:val="false"/>
          <w:i w:val="false"/>
          <w:sz w:val="22"/>
        </w:rPr>
      </w:pPr>
      <w:r>
        <w:rPr>
          <w:i w:val="false"/>
          <w:sz w:val="22"/>
        </w:rPr>
      </w:r>
    </w:p>
    <w:p>
      <w:pPr>
        <w:pStyle w:val="BodyText"/>
        <w:widowControl/>
        <w:rPr>
          <w:sz w:val="22"/>
        </w:rPr>
      </w:pPr>
      <w:r>
        <w:rPr>
          <w:sz w:val="22"/>
        </w:rPr>
        <w:t>This Proposal is for discussion purposes only to facilitate the negotiation, preparation, and execution of definitive agreements. This is not an offer or commitment of ENA or any of its affiliates to enter into any transaction. The transaction described herein is subject to further review and approval of the Boards of Directors of both ENA and NJNG, and execution of definitive agreements containing all appropriate provisions, including those related to credit and limitation of damages and remedies.</w:t>
      </w:r>
    </w:p>
    <w:p>
      <w:pPr>
        <w:pStyle w:val="BodyText"/>
        <w:widowControl/>
        <w:rPr>
          <w:i w:val="false"/>
          <w:i w:val="false"/>
          <w:sz w:val="22"/>
        </w:rPr>
      </w:pPr>
      <w:r>
        <w:rPr>
          <w:i w:val="false"/>
          <w:sz w:val="22"/>
        </w:rPr>
      </w:r>
      <w:r>
        <w:br w:type="page"/>
      </w:r>
    </w:p>
    <w:p>
      <w:pPr>
        <w:pStyle w:val="BodyText"/>
        <w:widowControl/>
        <w:rPr>
          <w:i w:val="false"/>
          <w:i w:val="false"/>
          <w:sz w:val="22"/>
        </w:rPr>
      </w:pPr>
      <w:r>
        <w:rPr>
          <w:i w:val="false"/>
          <w:sz w:val="22"/>
        </w:rPr>
      </w:r>
    </w:p>
    <w:sectPr>
      <w:headerReference w:type="default" r:id="rId2"/>
      <w:headerReference w:type="first" r:id="rId3"/>
      <w:footerReference w:type="default" r:id="rId4"/>
      <w:footerReference w:type="first" r:id="rId5"/>
      <w:type w:val="nextPage"/>
      <w:pgSz w:w="12240" w:h="15840"/>
      <w:pgMar w:left="1440" w:right="1440" w:gutter="0" w:header="576" w:top="1440" w:footer="28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object w:dxaOrig="1035" w:dyaOrig="101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9.05pt;margin-top:-36.6pt;width:51.75pt;height:51pt;mso-wrap-distance-left:9.05pt;mso-wrap-distance-right:9.05pt;mso-position-horizontal-relative:text;mso-position-vertical-relative:text" filled="f" o:ole="">
          <v:imagedata r:id="rId2" o:title=""/>
          <w10:wrap type="topAndBottom"/>
        </v:shape>
        <o:OLEObject Type="Embed" ProgID="" ShapeID="ole_rId1" DrawAspect="Content" ObjectID="_785567666" r:id="rId1"/>
      </w:object>
    </w:r>
    <w:r>
      <w:rPr>
        <w:rStyle w:val="PageNumber"/>
        <w:i/>
        <w:sz w:val="16"/>
      </w:rPr>
      <w:tab/>
    </w:r>
  </w:p>
  <w:p>
    <w:pPr>
      <w:pStyle w:val="Footer"/>
      <w:widowControl/>
      <w:tabs>
        <w:tab w:val="clear" w:pos="8640"/>
        <w:tab w:val="center" w:pos="4320" w:leader="none"/>
        <w:tab w:val="right" w:pos="9630" w:leader="none"/>
      </w:tabs>
      <w:ind w:end="-990"/>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object w:dxaOrig="1035" w:dyaOrig="101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9.05pt;margin-top:-36.6pt;width:51.75pt;height:51pt;mso-wrap-distance-left:9.05pt;mso-wrap-distance-right:9.05pt;mso-position-horizontal-relative:text;mso-position-vertical-relative:text" filled="f" o:ole="">
          <v:imagedata r:id="rId2" o:title=""/>
          <w10:wrap type="topAndBottom"/>
        </v:shape>
        <o:OLEObject Type="Embed" ProgID="" ShapeID="ole_rId1" DrawAspect="Content" ObjectID="_1336758565" r:id="rId1"/>
      </w:objec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0"/>
      </w:rPr>
    </w:pPr>
    <w:r>
      <w:rPr>
        <w:b/>
        <w:i/>
        <w:sz w:val="20"/>
      </w:rPr>
      <w:t>Proprietary Confidential Business Information – For Discussion Only</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0"/>
      </w:rPr>
    </w:pPr>
    <w:r>
      <w:rPr>
        <w:b/>
        <w:i/>
        <w:sz w:val="20"/>
      </w:rPr>
      <w:t>Proprietary Confidential Business Information – For Discussion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next w:val="Normal"/>
    <w:qFormat/>
    <w:pPr>
      <w:jc w:val="center"/>
    </w:pPr>
    <w:rPr>
      <w:b/>
      <w:smallCap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jc w:val="both"/>
    </w:pPr>
    <w:rPr>
      <w:sz w:val="22"/>
    </w:rPr>
  </w:style>
  <w:style w:type="paragraph" w:styleId="WW-BodyText2">
    <w:name w:val="WW-Body Text 2"/>
    <w:basedOn w:val="Normal"/>
    <w:qFormat/>
    <w:pPr>
      <w:ind w:hanging="1440" w:start="0" w:end="0"/>
      <w:jc w:val="both"/>
    </w:pPr>
    <w:rPr>
      <w:sz w:val="22"/>
    </w:rPr>
  </w:style>
  <w:style w:type="paragraph" w:styleId="BodyText3">
    <w:name w:val="Body Text 3"/>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2001-01-21T16:26:00Z</dcterms:created>
  <dc:creator>ECT</dc:creator>
  <dc:description/>
  <dc:language>en-CA</dc:language>
  <cp:lastModifiedBy>hkroll</cp:lastModifiedBy>
  <cp:lastPrinted>2001-01-20T16:59:00Z</cp:lastPrinted>
  <dcterms:modified xsi:type="dcterms:W3CDTF">2001-01-21T17:59:00Z</dcterms:modified>
  <cp:revision>17</cp:revision>
  <dc:subject/>
  <dc:title>SUMMARY OF TERMS FOR PROPOSED TRANSACTION BETWEEN</dc:title>
</cp:coreProperties>
</file>