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February  __, 2001</w:t>
      </w:r>
    </w:p>
    <w:p>
      <w:pPr>
        <w:pStyle w:val="Normal"/>
        <w:jc w:val="both"/>
        <w:rPr>
          <w:b/>
          <w:sz w:val="22"/>
        </w:rPr>
      </w:pPr>
      <w:r>
        <w:rPr>
          <w:b/>
          <w:sz w:val="22"/>
        </w:rPr>
      </w:r>
    </w:p>
    <w:p>
      <w:pPr>
        <w:pStyle w:val="Normal"/>
        <w:jc w:val="both"/>
        <w:rPr>
          <w:sz w:val="22"/>
        </w:rPr>
      </w:pPr>
      <w:r>
        <w:rPr>
          <w:color w:val="000000"/>
          <w:sz w:val="22"/>
        </w:rPr>
        <w:t>Mr. Thomas J. Kononowitz</w:t>
      </w:r>
    </w:p>
    <w:p>
      <w:pPr>
        <w:pStyle w:val="Normal"/>
        <w:jc w:val="both"/>
        <w:rPr>
          <w:color w:val="000000"/>
          <w:sz w:val="22"/>
        </w:rPr>
      </w:pPr>
      <w:r>
        <w:rPr>
          <w:sz w:val="22"/>
        </w:rPr>
        <w:t>New Jersey Resources</w:t>
      </w:r>
    </w:p>
    <w:p>
      <w:pPr>
        <w:pStyle w:val="Normal"/>
        <w:autoSpaceDE w:val="false"/>
        <w:spacing w:lineRule="atLeast" w:line="240"/>
        <w:rPr>
          <w:color w:val="000000"/>
          <w:sz w:val="22"/>
        </w:rPr>
      </w:pPr>
      <w:r>
        <w:rPr>
          <w:color w:val="000000"/>
          <w:sz w:val="22"/>
        </w:rPr>
        <w:t>Senior Vice President, Marketing Services</w:t>
      </w:r>
    </w:p>
    <w:p>
      <w:pPr>
        <w:pStyle w:val="Normal"/>
        <w:autoSpaceDE w:val="false"/>
        <w:spacing w:lineRule="atLeast" w:line="240"/>
        <w:rPr>
          <w:color w:val="000000"/>
          <w:sz w:val="22"/>
        </w:rPr>
      </w:pPr>
      <w:r>
        <w:rPr>
          <w:color w:val="000000"/>
          <w:sz w:val="22"/>
        </w:rPr>
        <w:t>1415 Wyckoff Road</w:t>
      </w:r>
    </w:p>
    <w:p>
      <w:pPr>
        <w:pStyle w:val="Normal"/>
        <w:jc w:val="both"/>
        <w:rPr>
          <w:sz w:val="22"/>
        </w:rPr>
      </w:pPr>
      <w:r>
        <w:rPr>
          <w:color w:val="000000"/>
          <w:sz w:val="22"/>
        </w:rPr>
        <w:t xml:space="preserve">Wall, NJ  07719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Kononowitz:</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New Jersey Resources Company, a New Jersey corporation (“NJR”) and Enron North America Corp., a Delaware corporation (“ENA”), to evaluate ENA’s and NJR’s possible joint development of fuel cell projects in the State of New Jersey (together, the “Proposed Projects”).  NJR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Projects.  The matters set forth in Article I are not intended to and do not constitute a binding agreement of the Parties with respect to the goods and services comprising the Proposed Projects.  Any such binding agreement will only arise upon the negotiation, execution and delivery of mutually satisfactory definitive agreements and the satisfaction of the conditions set forth therein, including the approval of such agreements and the Proposed Projects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Projects</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Proposed Projects and the necessary agreements relating thereto. ENA and NJR may conduct a due diligence investigation regarding the Proposed Projects.  NJR will assist ENA in such investigation and NJR will disclose to ENA all relevant information in NJR's possession pertaining thereto. It is understood that ENA and NJR are not, by virtue of this agreement, undertaking any liability with regard to the Proposed Projects;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Neither Party is obligated hereunder to enter into any definitive agreement with the other, with respect to the Proposed Projects.  It is currently anticipated, however, that any such definitive agreements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an entity or entities other than ENA and NJR enter into definitive agreements in order to develop a project that is similar to the Proposed Projects; or (ii) until such time that it becomes clear to either Party that the NJR/ENA joint development effort will not be economically viable or otherwise successful; or (iii) ___</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r>
      <w:r>
        <w:rPr>
          <w:b/>
          <w:sz w:val="22"/>
        </w:rPr>
        <w:tab/>
        <w:t xml:space="preserve">Confidentiality.  </w:t>
      </w:r>
      <w:r>
        <w:rPr>
          <w:bCs/>
          <w:sz w:val="22"/>
        </w:rPr>
        <w:t>This Agreement does not supersede, modify or replace the Confidentiality Agreement signed by the parties (or their affiliates) on or around January 26, 2001, which is incorporated herein by reference, and which binds the parties to this Agreement.</w:t>
      </w:r>
    </w:p>
    <w:p>
      <w:pPr>
        <w:pStyle w:val="Normal"/>
        <w:jc w:val="both"/>
        <w:rPr>
          <w:bCs/>
          <w:sz w:val="22"/>
        </w:rPr>
      </w:pPr>
      <w:r>
        <w:rPr>
          <w:bCs/>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Projects until (a) such Party’s respective Board of Directors, and other senior management or governing body where required,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except for the confidentiality agreement referenced in paragraph II 2.  There are no other written or oral agreements or understandings among the Parties.  Any amendment of this Agreement must be written and signed by both Parties.  A Party may only waive a provision of this Agreement in writing.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THIS AGREEMENT SHALL BE GOVERNED BY AND CONSTRUED IN ACCORDANCE WITH THE LAWS OF THE STATE OF NEW YORK, WITHOUT GIVING EFFECT TO CONFLICT OF LAWS PRINCIPLES.</w:t>
      </w:r>
    </w:p>
    <w:p>
      <w:pPr>
        <w:pStyle w:val="Normal"/>
        <w:jc w:val="both"/>
        <w:rPr>
          <w:sz w:val="22"/>
        </w:rPr>
      </w:pPr>
      <w:r>
        <w:rPr>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ENA NOR NJR,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sz w:val="22"/>
        </w:rPr>
      </w:pPr>
      <w:r>
        <w:rPr>
          <w:sz w:val="22"/>
        </w:rPr>
        <w:t>1200 Smith Street</w:t>
      </w:r>
    </w:p>
    <w:p>
      <w:pPr>
        <w:pStyle w:val="Normal"/>
        <w:jc w:val="both"/>
        <w:rPr>
          <w:sz w:val="22"/>
        </w:rPr>
      </w:pPr>
      <w:r>
        <w:rPr>
          <w:sz w:val="22"/>
        </w:rPr>
        <w:t>Houston, TX  77002</w:t>
      </w:r>
    </w:p>
    <w:p>
      <w:pPr>
        <w:pStyle w:val="Normal"/>
        <w:jc w:val="both"/>
        <w:rPr>
          <w:sz w:val="22"/>
        </w:rPr>
      </w:pPr>
      <w:r>
        <w:rPr>
          <w:sz w:val="22"/>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Heading2"/>
        <w:ind w:hanging="0" w:start="0"/>
        <w:rPr/>
      </w:pPr>
      <w:r>
        <w:rPr/>
        <w:t>NEW JERSEY RESOURCES COMPANY</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1"/>
        <w:ind w:hanging="0" w:start="0"/>
        <w:rPr/>
      </w:pPr>
      <w:r>
        <w:rPr/>
        <w:t>EXHIBIT A TO LETTER OF INTENT</w:t>
      </w:r>
    </w:p>
    <w:p>
      <w:pPr>
        <w:pStyle w:val="Normal"/>
        <w:jc w:val="center"/>
        <w:rPr>
          <w:b/>
          <w:bCs/>
          <w:sz w:val="22"/>
          <w:u w:val="single"/>
        </w:rPr>
      </w:pPr>
      <w:r>
        <w:rPr>
          <w:b/>
          <w:bCs/>
          <w:sz w:val="22"/>
          <w:u w:val="single"/>
        </w:rPr>
        <w:t>BETWEEN NEW JERSEY RESOURCES AND ENRON NORTH AMERICA</w:t>
      </w:r>
    </w:p>
    <w:p>
      <w:pPr>
        <w:pStyle w:val="Normal"/>
        <w:jc w:val="center"/>
        <w:rPr>
          <w:b/>
          <w:bCs/>
          <w:sz w:val="22"/>
          <w:u w:val="single"/>
        </w:rPr>
      </w:pPr>
      <w:r>
        <w:rPr>
          <w:b/>
          <w:bCs/>
          <w:sz w:val="22"/>
          <w:u w:val="single"/>
        </w:rPr>
      </w:r>
    </w:p>
    <w:p>
      <w:pPr>
        <w:pStyle w:val="Normal"/>
        <w:jc w:val="both"/>
        <w:rPr>
          <w:b/>
          <w:bCs/>
          <w:sz w:val="22"/>
          <w:u w:val="single"/>
        </w:rPr>
      </w:pPr>
      <w:r>
        <w:rPr>
          <w:b/>
          <w:bCs/>
          <w:sz w:val="22"/>
          <w:u w:val="single"/>
        </w:rPr>
      </w:r>
    </w:p>
    <w:p>
      <w:pPr>
        <w:pStyle w:val="Normal"/>
        <w:jc w:val="both"/>
        <w:rPr>
          <w:b/>
          <w:bCs/>
          <w:sz w:val="22"/>
          <w:u w:val="single"/>
        </w:rPr>
      </w:pPr>
      <w:r>
        <w:rPr>
          <w:b/>
          <w:bCs/>
          <w:sz w:val="22"/>
          <w:u w:val="single"/>
        </w:rPr>
      </w:r>
    </w:p>
    <w:p>
      <w:pPr>
        <w:pStyle w:val="Normal"/>
        <w:tabs>
          <w:tab w:val="clear" w:pos="720"/>
          <w:tab w:val="left" w:pos="360" w:leader="none"/>
        </w:tabs>
        <w:spacing w:lineRule="auto" w:line="360"/>
        <w:jc w:val="both"/>
        <w:rPr/>
      </w:pPr>
      <w:r>
        <w:rPr>
          <w:b/>
          <w:sz w:val="22"/>
        </w:rPr>
        <w:t>Parties</w:t>
      </w:r>
      <w:r>
        <w:rPr>
          <w:b/>
          <w:smallCaps/>
          <w:sz w:val="22"/>
        </w:rPr>
        <w:t>:</w:t>
        <w:tab/>
      </w:r>
      <w:r>
        <w:rPr>
          <w:sz w:val="22"/>
        </w:rPr>
        <w:t>New Jersey Resources Company (“NJR”)</w:t>
      </w:r>
    </w:p>
    <w:p>
      <w:pPr>
        <w:pStyle w:val="Normal"/>
        <w:tabs>
          <w:tab w:val="clear" w:pos="720"/>
          <w:tab w:val="left" w:pos="360" w:leader="none"/>
        </w:tabs>
        <w:spacing w:lineRule="auto" w:line="360"/>
        <w:jc w:val="both"/>
        <w:rPr/>
      </w:pPr>
      <w:r>
        <w:rPr>
          <w:b/>
          <w:sz w:val="22"/>
        </w:rPr>
        <w:tab/>
        <w:tab/>
        <w:tab/>
      </w:r>
      <w:r>
        <w:rPr>
          <w:sz w:val="22"/>
        </w:rPr>
        <w:t>Enron North America (“ENA”)</w:t>
      </w:r>
    </w:p>
    <w:p>
      <w:pPr>
        <w:pStyle w:val="Normal"/>
        <w:rPr>
          <w:sz w:val="22"/>
        </w:rPr>
      </w:pPr>
      <w:r>
        <w:rPr>
          <w:sz w:val="22"/>
        </w:rPr>
      </w:r>
    </w:p>
    <w:p>
      <w:pPr>
        <w:pStyle w:val="Heading1"/>
        <w:ind w:hanging="0" w:start="0"/>
        <w:rPr>
          <w:smallCaps/>
        </w:rPr>
      </w:pPr>
      <w:r>
        <w:rPr>
          <w:smallCaps/>
        </w:rPr>
        <w:t>Description of Transaction</w:t>
      </w:r>
    </w:p>
    <w:p>
      <w:pPr>
        <w:pStyle w:val="Normal"/>
        <w:rPr>
          <w:b/>
          <w:smallCaps/>
          <w:sz w:val="22"/>
        </w:rPr>
      </w:pPr>
      <w:r>
        <w:rPr>
          <w:b/>
          <w:smallCaps/>
          <w:sz w:val="22"/>
        </w:rPr>
      </w:r>
    </w:p>
    <w:p>
      <w:pPr>
        <w:pStyle w:val="BodyText3"/>
        <w:jc w:val="both"/>
        <w:rPr/>
      </w:pPr>
      <w:r>
        <w:rPr/>
        <w:t>NJR and ENA have expressed interest in jointly developing certain fuel cell projects within the State of New Jersey, including arranging for or providing contracts for the engineering, procurement, construction, installation and testing of fuel cell electrical generation facilities comprised of multiple fuel cell power plants, operation and maintenance of such plants, fuel supply arrangements, and power marketing.  The purpose of this term sheet is to outline general activities which need to be undertaken in order to accomplish these goals.  The scope of each Party’s activities will be further developed and outlined in a Project Development Agreement on a project-by-project basis.</w:t>
      </w:r>
    </w:p>
    <w:p>
      <w:pPr>
        <w:pStyle w:val="Normal"/>
        <w:rPr>
          <w:sz w:val="22"/>
        </w:rPr>
      </w:pPr>
      <w:r>
        <w:rPr>
          <w:sz w:val="22"/>
        </w:rPr>
      </w:r>
    </w:p>
    <w:p>
      <w:pPr>
        <w:pStyle w:val="Heading1"/>
        <w:ind w:hanging="0" w:start="0"/>
        <w:rPr>
          <w:smallCaps/>
        </w:rPr>
      </w:pPr>
      <w:r>
        <w:rPr>
          <w:smallCaps/>
        </w:rPr>
        <w:t>Project Development</w:t>
      </w:r>
    </w:p>
    <w:p>
      <w:pPr>
        <w:pStyle w:val="Normal"/>
        <w:rPr>
          <w:b/>
          <w:smallCaps/>
          <w:sz w:val="22"/>
        </w:rPr>
      </w:pPr>
      <w:r>
        <w:rPr>
          <w:b/>
          <w:smallCaps/>
          <w:sz w:val="22"/>
        </w:rPr>
      </w:r>
    </w:p>
    <w:p>
      <w:pPr>
        <w:pStyle w:val="BodyText3"/>
        <w:jc w:val="both"/>
        <w:rPr/>
      </w:pPr>
      <w:r>
        <w:rPr/>
        <w:t xml:space="preserve">The Parties will locate sites for the development of fuel cell power plants. Initial applications will be installed on the natural gas system of NJNG, unless the Parties agree to other opportunities outside the NJNG service area. ENA and NJR will supervise the development of approved sites for the installation of the plants, including any rezoning, environmental impact studies, permitting and electrical interconnection contracts. Initial projects will focus on installations designed for distributed generation opportunities on the wholesale grid, and industrial “inside the fence” applications. Opportunities involving other applications will be evaluated on a case-by-case basis. </w:t>
      </w:r>
    </w:p>
    <w:p>
      <w:pPr>
        <w:pStyle w:val="BodyText3"/>
        <w:rPr/>
      </w:pPr>
      <w:r>
        <w:rPr/>
      </w:r>
    </w:p>
    <w:p>
      <w:pPr>
        <w:pStyle w:val="BodyText3"/>
        <w:rPr/>
      </w:pPr>
      <w:r>
        <w:rPr/>
      </w:r>
    </w:p>
    <w:p>
      <w:pPr>
        <w:pStyle w:val="Heading1"/>
        <w:ind w:hanging="0" w:start="0"/>
        <w:rPr>
          <w:smallCaps/>
        </w:rPr>
      </w:pPr>
      <w:r>
        <w:rPr>
          <w:smallCaps/>
        </w:rPr>
        <w:t>Manufacturers Negotiations</w:t>
      </w:r>
    </w:p>
    <w:p>
      <w:pPr>
        <w:pStyle w:val="BodyText3"/>
        <w:rPr>
          <w:smallCaps/>
        </w:rPr>
      </w:pPr>
      <w:r>
        <w:rPr>
          <w:smallCaps/>
        </w:rPr>
      </w:r>
    </w:p>
    <w:p>
      <w:pPr>
        <w:pStyle w:val="BodyText3"/>
        <w:jc w:val="both"/>
        <w:rPr/>
      </w:pPr>
      <w:r>
        <w:rPr/>
        <w:t>ENA will negotiate orders with the fuel cell manufacturers to meet project milestones and establish quality control programs for product performance to meet minimum stated guarantees.</w:t>
      </w:r>
    </w:p>
    <w:p>
      <w:pPr>
        <w:pStyle w:val="BodyText3"/>
        <w:rPr/>
      </w:pPr>
      <w:r>
        <w:rPr/>
      </w:r>
    </w:p>
    <w:p>
      <w:pPr>
        <w:pStyle w:val="BodyText3"/>
        <w:rPr/>
      </w:pPr>
      <w:r>
        <w:rPr/>
      </w:r>
    </w:p>
    <w:p>
      <w:pPr>
        <w:pStyle w:val="Heading1"/>
        <w:ind w:hanging="0" w:start="0"/>
        <w:rPr>
          <w:smallCaps/>
        </w:rPr>
      </w:pPr>
      <w:r>
        <w:rPr>
          <w:smallCaps/>
        </w:rPr>
        <w:t>Engineering, Procurement and Construction</w:t>
      </w:r>
    </w:p>
    <w:p>
      <w:pPr>
        <w:pStyle w:val="Normal"/>
        <w:rPr>
          <w:b/>
          <w:smallCaps/>
          <w:sz w:val="22"/>
        </w:rPr>
      </w:pPr>
      <w:r>
        <w:rPr>
          <w:b/>
          <w:smallCaps/>
          <w:sz w:val="22"/>
        </w:rPr>
      </w:r>
    </w:p>
    <w:p>
      <w:pPr>
        <w:pStyle w:val="BodyText3"/>
        <w:jc w:val="both"/>
        <w:rPr/>
      </w:pPr>
      <w:r>
        <w:rPr/>
        <w:t xml:space="preserve">One or both of the Parties will arrange all engineering, design, procurement, and construction activities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facilities.  </w:t>
      </w:r>
    </w:p>
    <w:p>
      <w:pPr>
        <w:pStyle w:val="Normal"/>
        <w:rPr>
          <w:sz w:val="22"/>
        </w:rPr>
      </w:pPr>
      <w:r>
        <w:rPr>
          <w:sz w:val="22"/>
        </w:rPr>
      </w:r>
    </w:p>
    <w:p>
      <w:pPr>
        <w:pStyle w:val="Normal"/>
        <w:rPr>
          <w:sz w:val="22"/>
        </w:rPr>
      </w:pPr>
      <w:r>
        <w:rPr>
          <w:sz w:val="22"/>
        </w:rPr>
      </w:r>
    </w:p>
    <w:p>
      <w:pPr>
        <w:pStyle w:val="Heading1"/>
        <w:ind w:hanging="0" w:start="0"/>
        <w:rPr>
          <w:smallCaps/>
        </w:rPr>
      </w:pPr>
      <w:r>
        <w:rPr>
          <w:smallCaps/>
        </w:rPr>
        <w:t>Fuel Supply</w:t>
      </w:r>
    </w:p>
    <w:p>
      <w:pPr>
        <w:pStyle w:val="Normal"/>
        <w:rPr>
          <w:b/>
          <w:smallCaps/>
          <w:sz w:val="22"/>
        </w:rPr>
      </w:pPr>
      <w:r>
        <w:rPr>
          <w:b/>
          <w:smallCaps/>
          <w:sz w:val="22"/>
        </w:rPr>
      </w:r>
    </w:p>
    <w:p>
      <w:pPr>
        <w:pStyle w:val="BodyText3"/>
        <w:jc w:val="both"/>
        <w:rPr/>
      </w:pPr>
      <w:r>
        <w:rPr/>
        <w:t xml:space="preserve">ENA will manage the wholesale supply of natural gas (including related price hedging), and NJR will negotiate and manage the transportation of the gas on the local distribution company.    </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smallCaps/>
        </w:rPr>
      </w:pPr>
      <w:r>
        <w:rPr>
          <w:smallCaps/>
        </w:rPr>
        <w:t>Power Marketing</w:t>
      </w:r>
    </w:p>
    <w:p>
      <w:pPr>
        <w:pStyle w:val="Normal"/>
        <w:rPr>
          <w:smallCaps/>
          <w:sz w:val="22"/>
        </w:rPr>
      </w:pPr>
      <w:r>
        <w:rPr>
          <w:smallCaps/>
          <w:sz w:val="22"/>
        </w:rPr>
      </w:r>
    </w:p>
    <w:p>
      <w:pPr>
        <w:pStyle w:val="BodyText3"/>
        <w:jc w:val="both"/>
        <w:rPr/>
      </w:pPr>
      <w:r>
        <w:rPr/>
        <w:t>The fuel cells will be interconnected into the transmission or distribution power grid, depending on the size and location of each project.  ENA will manage the scheduling, dispatch and sale of the power out of the facilities. The electrical output of these farms includes electric energy, ancillary services and a potential green premium.  Energy and ancillary services will be dispatched into the PJM Pool.  A dispatch schedule and bidding strategy that maximizes the value of the plants in the wholesale market will be devised and implemented daily by ENA.  Revenues from the sale of the plant’s electrical output will serve to offset operating costs.</w:t>
      </w:r>
    </w:p>
    <w:p>
      <w:pPr>
        <w:pStyle w:val="Normal"/>
        <w:rPr>
          <w:sz w:val="22"/>
        </w:rPr>
      </w:pPr>
      <w:r>
        <w:rPr>
          <w:sz w:val="22"/>
        </w:rPr>
      </w:r>
    </w:p>
    <w:p>
      <w:pPr>
        <w:pStyle w:val="Heading1"/>
        <w:ind w:hanging="0" w:start="0"/>
        <w:rPr>
          <w:smallCaps/>
        </w:rPr>
      </w:pPr>
      <w:r>
        <w:rPr>
          <w:smallCaps/>
        </w:rPr>
        <w:t>Operations and Maintenance</w:t>
      </w:r>
    </w:p>
    <w:p>
      <w:pPr>
        <w:pStyle w:val="Normal"/>
        <w:rPr>
          <w:smallCaps/>
          <w:sz w:val="22"/>
        </w:rPr>
      </w:pPr>
      <w:r>
        <w:rPr>
          <w:smallCaps/>
          <w:sz w:val="22"/>
        </w:rPr>
      </w:r>
    </w:p>
    <w:p>
      <w:pPr>
        <w:pStyle w:val="BodyText3"/>
        <w:jc w:val="both"/>
        <w:rPr/>
      </w:pPr>
      <w:r>
        <w:rPr/>
        <w:t>NJR will be responsible for the ongoing operations and maintenance of the plants, which includes site maintenance, budgeting, ordering and managing consumables such as nitrogen, catalysts, and absorbents, maintaining the water treatment system, managing the water supply, and performing basic on-going maintenance of the fuel cell plants.</w:t>
      </w:r>
    </w:p>
    <w:p>
      <w:pPr>
        <w:pStyle w:val="Normal"/>
        <w:rPr>
          <w:sz w:val="22"/>
        </w:rPr>
      </w:pPr>
      <w:r>
        <w:rPr>
          <w:sz w:val="22"/>
        </w:rPr>
      </w:r>
    </w:p>
    <w:p>
      <w:pPr>
        <w:pStyle w:val="Normal"/>
        <w:rPr>
          <w:sz w:val="22"/>
        </w:rPr>
      </w:pPr>
      <w:r>
        <w:rPr>
          <w:sz w:val="22"/>
        </w:rPr>
      </w:r>
    </w:p>
    <w:p>
      <w:pPr>
        <w:pStyle w:val="Heading1"/>
        <w:ind w:hanging="0" w:start="0"/>
        <w:rPr>
          <w:smallCaps/>
        </w:rPr>
      </w:pPr>
      <w:r>
        <w:rPr>
          <w:smallCaps/>
        </w:rPr>
        <w:t>Funding Sources</w:t>
      </w:r>
    </w:p>
    <w:p>
      <w:pPr>
        <w:pStyle w:val="Normal"/>
        <w:rPr>
          <w:smallCaps/>
          <w:sz w:val="22"/>
        </w:rPr>
      </w:pPr>
      <w:r>
        <w:rPr>
          <w:smallCaps/>
          <w:sz w:val="22"/>
        </w:rPr>
      </w:r>
    </w:p>
    <w:p>
      <w:pPr>
        <w:pStyle w:val="BodyText3"/>
        <w:jc w:val="both"/>
        <w:rPr/>
      </w:pPr>
      <w:r>
        <w:rPr/>
        <w:t>NJR and ENA will pursue state and federal sources of funds to help offset the costs of fuel cells.  The parties will petition for any state conservation and renewable funds created to encourage “green” power technologies and will file for federal rebates and tax credits as a means of reducing the installation costs of the fuel cell facilities. After the initial development phase, privately funded projects will be evaluated.</w:t>
      </w:r>
    </w:p>
    <w:p>
      <w:pPr>
        <w:pStyle w:val="BodyText3"/>
        <w:jc w:val="both"/>
        <w:rPr/>
      </w:pPr>
      <w:r>
        <w:rPr/>
      </w:r>
    </w:p>
    <w:p>
      <w:pPr>
        <w:pStyle w:val="BodyText3"/>
        <w:jc w:val="both"/>
        <w:rPr/>
      </w:pPr>
      <w:r>
        <w:rPr/>
      </w:r>
    </w:p>
    <w:p>
      <w:pPr>
        <w:pStyle w:val="BodyText"/>
        <w:widowControl/>
        <w:rPr>
          <w:i w:val="false"/>
          <w:i w:val="false"/>
          <w:sz w:val="22"/>
        </w:rPr>
      </w:pPr>
      <w:r>
        <w:rPr>
          <w:i w:val="false"/>
          <w:sz w:val="22"/>
        </w:rPr>
      </w:r>
    </w:p>
    <w:p>
      <w:pPr>
        <w:pStyle w:val="BodyText"/>
        <w:rPr>
          <w:b/>
          <w:sz w:val="22"/>
        </w:rPr>
      </w:pPr>
      <w:r>
        <w:rPr>
          <w:b/>
          <w:sz w:val="22"/>
        </w:rPr>
        <w:t>THIS SUMMARY OF TERMS AND CONDITIONS IS ONE ATTACHMENT TO A LETTER OF INTENT DATED _____  __, 2001, AND IS NOT TO BE CONSIDERED SEPARATELY FROM SUCH LETTER.  EXCEPT AS SET OUT IN SUCH LETTER, THE LETTER OF INTENT AND THE ATTACHMENTS THERETO ARE NOT INTENDED TO BE COMPLETE AND ALL-INCLUSIVE OF THE TERMS OF THE PROPOSED TRANSACTION, NOR DOES SUCH LETTER OR THE ATTACHMENTS CREATE A BINDING AND ENFORCEABLE CONTRACT BETWEEN OR COMMITMENT OR OFFER TO ANY PARTY OR PARTIES.</w:t>
      </w:r>
    </w:p>
    <w:p>
      <w:pPr>
        <w:pStyle w:val="BodyText"/>
        <w:widowControl/>
        <w:rPr>
          <w:b/>
          <w:sz w:val="22"/>
          <w:u w:val="single"/>
        </w:rPr>
      </w:pPr>
      <w:r>
        <w:rPr>
          <w:b/>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NJNG_LOI_FEB8.doc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NJNG_LOI_FEB8.doc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w:t>
    </w:r>
  </w:p>
  <w:p>
    <w:pPr>
      <w:pStyle w:val="Header"/>
      <w:tabs>
        <w:tab w:val="clear" w:pos="8640"/>
        <w:tab w:val="center" w:pos="4320" w:leader="none"/>
        <w:tab w:val="right" w:pos="9630" w:leader="none"/>
      </w:tabs>
      <w:jc w:val="end"/>
      <w:rPr>
        <w:sz w:val="22"/>
      </w:rPr>
    </w:pPr>
    <w:r>
      <w:rPr>
        <w:b/>
      </w:rPr>
      <w:t>For 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DRAFT</w:t>
      <w:tab/>
      <w:t>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u w:val="single"/>
    </w:rPr>
  </w:style>
  <w:style w:type="paragraph" w:styleId="Heading2">
    <w:name w:val="heading 2"/>
    <w:basedOn w:val="Normal"/>
    <w:next w:val="Normal"/>
    <w:qFormat/>
    <w:pPr>
      <w:keepNext w:val="true"/>
      <w:keepLines/>
      <w:numPr>
        <w:ilvl w:val="1"/>
        <w:numId w:val="1"/>
      </w:numPr>
      <w:jc w:val="both"/>
      <w:outlineLvl w:val="1"/>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i/>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widowControl w:val="false"/>
      <w:tabs>
        <w:tab w:val="clear" w:pos="720"/>
        <w:tab w:val="left" w:pos="360" w:leader="none"/>
      </w:tabs>
      <w:jc w:val="both"/>
    </w:pPr>
    <w:rPr>
      <w:sz w:val="22"/>
    </w:rPr>
  </w:style>
  <w:style w:type="paragraph" w:styleId="BodyText3">
    <w:name w:val="Body Text 3"/>
    <w:basedOn w:val="Normal"/>
    <w:qFormat/>
    <w:pPr>
      <w:widowControl w:val="false"/>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2001-02-08T14:55:00Z</dcterms:created>
  <dc:creator>ECT</dc:creator>
  <dc:description/>
  <dc:language>en-CA</dc:language>
  <cp:lastModifiedBy>kmann</cp:lastModifiedBy>
  <cp:lastPrinted>2001-02-08T11:17:00Z</cp:lastPrinted>
  <dcterms:modified xsi:type="dcterms:W3CDTF">2001-02-08T14:55:00Z</dcterms:modified>
  <cp:revision>2</cp:revision>
  <dc:subject/>
  <dc:title>[ECT Letterhead]</dc:title>
</cp:coreProperties>
</file>