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rFonts w:ascii="Times New Roman" w:hAnsi="Times New Roman" w:cs="Times New Roman"/>
          <w:b/>
          <w:sz w:val="20"/>
        </w:rPr>
      </w:pPr>
      <w:r>
        <w:rPr>
          <w:rFonts w:cs="Times New Roman" w:ascii="Times New Roman" w:hAnsi="Times New Roman"/>
          <w:b/>
          <w:sz w:val="20"/>
        </w:rPr>
        <w:t>Gas Supply Term Sheet</w:t>
      </w:r>
    </w:p>
    <w:p>
      <w:pPr>
        <w:pStyle w:val="BodyText"/>
        <w:jc w:val="center"/>
        <w:rPr>
          <w:rFonts w:ascii="Times New Roman" w:hAnsi="Times New Roman" w:cs="Times New Roman"/>
          <w:b/>
          <w:sz w:val="20"/>
        </w:rPr>
      </w:pPr>
      <w:r>
        <w:rPr>
          <w:rFonts w:cs="Times New Roman" w:ascii="Times New Roman" w:hAnsi="Times New Roman"/>
          <w:b/>
          <w:sz w:val="20"/>
        </w:rPr>
        <w:t>September 7, 2001</w:t>
      </w:r>
    </w:p>
    <w:p>
      <w:pPr>
        <w:pStyle w:val="BodyText"/>
        <w:jc w:val="center"/>
        <w:rPr>
          <w:rFonts w:ascii="Times New Roman" w:hAnsi="Times New Roman" w:cs="Times New Roman"/>
          <w:b/>
          <w:sz w:val="20"/>
        </w:rPr>
      </w:pPr>
      <w:r>
        <w:rPr>
          <w:rFonts w:cs="Times New Roman" w:ascii="Times New Roman" w:hAnsi="Times New Roman"/>
          <w:b/>
          <w:sz w:val="20"/>
        </w:rPr>
      </w:r>
    </w:p>
    <w:p>
      <w:pPr>
        <w:pStyle w:val="BodyText"/>
        <w:rPr>
          <w:rFonts w:ascii="Times New Roman" w:hAnsi="Times New Roman" w:cs="Times New Roman"/>
          <w:sz w:val="20"/>
        </w:rPr>
      </w:pPr>
      <w:r>
        <w:rPr>
          <w:rFonts w:cs="Times New Roman" w:ascii="Times New Roman" w:hAnsi="Times New Roman"/>
          <w:b/>
          <w:sz w:val="20"/>
        </w:rPr>
        <w:t xml:space="preserve">Proposal Summary:  </w:t>
      </w:r>
      <w:r>
        <w:rPr>
          <w:rFonts w:cs="Times New Roman" w:ascii="Times New Roman" w:hAnsi="Times New Roman"/>
          <w:sz w:val="20"/>
        </w:rPr>
        <w:t>Enron North America (“ENA”) proposes to provide natural gas supply to serve all baseload and swing requirements for the City of Roseville as well as a management services arrangement whereby ENA would provide risk management services, scheduling, and market</w:t>
      </w:r>
      <w:r>
        <w:rPr/>
        <w:t xml:space="preserve"> </w:t>
      </w:r>
    </w:p>
    <w:p>
      <w:pPr>
        <w:pStyle w:val="BodyText"/>
        <w:rPr>
          <w:rFonts w:ascii="Times New Roman" w:hAnsi="Times New Roman" w:cs="Times New Roman"/>
          <w:b/>
          <w:sz w:val="20"/>
        </w:rPr>
      </w:pPr>
      <w:r>
        <w:rPr>
          <w:rFonts w:cs="Times New Roman" w:ascii="Times New Roman" w:hAnsi="Times New Roman"/>
          <w:b/>
          <w:sz w:val="20"/>
        </w:rPr>
        <w:t>Seller:</w:t>
        <w:tab/>
        <w:t>Enron North America</w:t>
      </w:r>
    </w:p>
    <w:p>
      <w:pPr>
        <w:pStyle w:val="BodyText"/>
        <w:rPr>
          <w:rFonts w:ascii="Times New Roman" w:hAnsi="Times New Roman" w:cs="Times New Roman"/>
          <w:b/>
          <w:sz w:val="20"/>
        </w:rPr>
      </w:pPr>
      <w:r>
        <w:rPr>
          <w:rFonts w:cs="Times New Roman" w:ascii="Times New Roman" w:hAnsi="Times New Roman"/>
          <w:b/>
          <w:sz w:val="20"/>
        </w:rPr>
        <w:t>Buyer:</w:t>
        <w:tab/>
        <w:t>City of Roseville</w:t>
      </w:r>
    </w:p>
    <w:p>
      <w:pPr>
        <w:pStyle w:val="Heading1"/>
        <w:ind w:hanging="360" w:start="360" w:end="0"/>
        <w:rPr/>
      </w:pPr>
      <w:r>
        <w:rPr/>
        <w:t>Term:</w:t>
        <w:tab/>
        <w:t>To be determined</w:t>
      </w:r>
    </w:p>
    <w:p>
      <w:pPr>
        <w:pStyle w:val="Normal"/>
        <w:rPr/>
      </w:pPr>
      <w:r>
        <w:rPr/>
      </w:r>
    </w:p>
    <w:p>
      <w:pPr>
        <w:pStyle w:val="Heading1"/>
        <w:ind w:hanging="0" w:start="0"/>
        <w:rPr>
          <w:bCs/>
        </w:rPr>
      </w:pPr>
      <w:r>
        <w:rPr>
          <w:bCs/>
        </w:rPr>
        <w:t>Delivery Point:  PG&amp;E City Gate</w:t>
      </w:r>
    </w:p>
    <w:p>
      <w:pPr>
        <w:pStyle w:val="Normal"/>
        <w:tabs>
          <w:tab w:val="clear" w:pos="720"/>
          <w:tab w:val="left" w:pos="1008" w:leader="none"/>
        </w:tabs>
        <w:spacing w:before="0" w:after="120"/>
        <w:ind w:start="648" w:end="14"/>
        <w:jc w:val="both"/>
        <w:rPr>
          <w:bCs/>
        </w:rPr>
      </w:pPr>
      <w:r>
        <w:rPr>
          <w:bCs/>
        </w:rPr>
      </w:r>
    </w:p>
    <w:p>
      <w:pPr>
        <w:pStyle w:val="Heading4"/>
        <w:rPr/>
      </w:pPr>
      <w:r>
        <w:rPr/>
        <w:t>Quantity:</w:t>
      </w:r>
    </w:p>
    <w:p>
      <w:pPr>
        <w:pStyle w:val="Normal"/>
        <w:rPr/>
      </w:pPr>
      <w:r>
        <w:rPr/>
        <w:t xml:space="preserve">Seller shall supply &amp; schedule Buyer’s full requirements gas needs, including but not limited to managing Buyer’s existing pipeline capacity, nominating gas, assistance in managing OFOs and EFOs, imbalance trading, and providing incremental gas supply in accordance with the following:  </w:t>
      </w:r>
    </w:p>
    <w:p>
      <w:pPr>
        <w:pStyle w:val="Normal"/>
        <w:rPr/>
      </w:pPr>
      <w:r>
        <w:rPr/>
      </w:r>
    </w:p>
    <w:p>
      <w:pPr>
        <w:pStyle w:val="Normal"/>
        <w:numPr>
          <w:ilvl w:val="0"/>
          <w:numId w:val="4"/>
        </w:numPr>
        <w:rPr/>
      </w:pPr>
      <w:r>
        <w:rPr/>
        <w:t>Seller shall be Buyer’s Authorized Marketer as defined by the tariffs of PG&amp;E.  As Buyer’s Authorized Marketer, Seller shall pay any Imbalance Charges or penalties resulting from failure to balance Buyer’s usage and Seller’s deliveries, subject to other provisions indicated below.</w:t>
      </w:r>
    </w:p>
    <w:p>
      <w:pPr>
        <w:pStyle w:val="Normal"/>
        <w:numPr>
          <w:ilvl w:val="0"/>
          <w:numId w:val="4"/>
        </w:numPr>
        <w:rPr/>
      </w:pPr>
      <w:r>
        <w:rPr/>
        <w:t>Buyer shall pay for the amount of gas transported by Buyer on the PG&amp;E system as documented by Buyer’s PG&amp;E transportation invoice.</w:t>
      </w:r>
    </w:p>
    <w:p>
      <w:pPr>
        <w:pStyle w:val="Normal"/>
        <w:numPr>
          <w:ilvl w:val="0"/>
          <w:numId w:val="4"/>
        </w:numPr>
        <w:rPr/>
      </w:pPr>
      <w:r>
        <w:rPr/>
        <w:t xml:space="preserve">Buyer shall notify Seller at least three days prior to the last trading day of that month’s NYMEX futures contract with its best estimate of its daily demand for the next month.  This estimate will be known as the Baseload Demand Quantity (BDQ).  The Price for any BDQ that is scheduled prior to the month shall be the price published in </w:t>
      </w:r>
      <w:r>
        <w:rPr>
          <w:u w:val="single"/>
        </w:rPr>
        <w:t>Natural Gas Intelligence</w:t>
      </w:r>
      <w:r>
        <w:rPr/>
        <w:t xml:space="preserve"> Gas Price Index, first issue of the delivery month, in the table titled “California”, on the line titled “PG&amp;E City-gate” + $.05.</w:t>
      </w:r>
    </w:p>
    <w:p>
      <w:pPr>
        <w:pStyle w:val="Normal"/>
        <w:numPr>
          <w:ilvl w:val="0"/>
          <w:numId w:val="4"/>
        </w:numPr>
        <w:rPr/>
      </w:pPr>
      <w:r>
        <w:rPr/>
        <w:t>The price for all or part of Buyer’s baseload quantity can be fixed by the Buyer with the Seller at any time prior to determination of the first of the month index</w:t>
      </w:r>
      <w:r>
        <w:rPr>
          <w:rFonts w:cs="Arial" w:ascii="Arial" w:hAnsi="Arial"/>
        </w:rPr>
        <w:t>.</w:t>
      </w:r>
    </w:p>
    <w:p>
      <w:pPr>
        <w:pStyle w:val="Normal"/>
        <w:numPr>
          <w:ilvl w:val="0"/>
          <w:numId w:val="4"/>
        </w:numPr>
        <w:rPr>
          <w:b/>
        </w:rPr>
      </w:pPr>
      <w:r>
        <w:rPr>
          <w:b/>
        </w:rPr>
        <w:t>OFO Management</w:t>
      </w:r>
    </w:p>
    <w:p>
      <w:pPr>
        <w:pStyle w:val="ListBullet2"/>
        <w:numPr>
          <w:ilvl w:val="0"/>
          <w:numId w:val="3"/>
        </w:numPr>
        <w:rPr>
          <w:sz w:val="20"/>
        </w:rPr>
      </w:pPr>
      <w:r>
        <w:rPr>
          <w:sz w:val="20"/>
        </w:rPr>
        <w:t>Buyer shall assign an individual that Seller can contact to help Seller manage PG&amp;E Operational Flow Order (OFO) events.</w:t>
      </w:r>
    </w:p>
    <w:p>
      <w:pPr>
        <w:pStyle w:val="ListBullet2"/>
        <w:numPr>
          <w:ilvl w:val="0"/>
          <w:numId w:val="3"/>
        </w:numPr>
        <w:rPr>
          <w:sz w:val="20"/>
        </w:rPr>
      </w:pPr>
      <w:r>
        <w:rPr>
          <w:sz w:val="20"/>
        </w:rPr>
        <w:t>Seller shall be responsible for notifying Buyer in the event of a PG&amp;E Operational Flow Order (OFO) requiring that Daily deliveries and usage equal each other within the tolerance permitted by PG&amp;E.  Notification shall be by telephone call on Seller’s recorded line noting the date and time of such call.</w:t>
      </w:r>
    </w:p>
    <w:p>
      <w:pPr>
        <w:pStyle w:val="ListBullet2"/>
        <w:numPr>
          <w:ilvl w:val="0"/>
          <w:numId w:val="3"/>
        </w:numPr>
        <w:rPr>
          <w:sz w:val="20"/>
        </w:rPr>
      </w:pPr>
      <w:r>
        <w:rPr>
          <w:sz w:val="20"/>
        </w:rPr>
        <w:t>Upon notification by Seller of an OFO event, Buyer shall set an OFO Quantity as the target for Seller to deliver during the OFO event.</w:t>
      </w:r>
    </w:p>
    <w:p>
      <w:pPr>
        <w:pStyle w:val="ListBullet2"/>
        <w:numPr>
          <w:ilvl w:val="0"/>
          <w:numId w:val="3"/>
        </w:numPr>
        <w:rPr>
          <w:sz w:val="20"/>
        </w:rPr>
      </w:pPr>
      <w:r>
        <w:rPr>
          <w:sz w:val="20"/>
        </w:rPr>
        <w:t xml:space="preserve">If Seller does not notify Buyer of an OFO event, and Seller incurs penalties as a result of Seller delivering a quantity that differs from Buyer’s usage, such penalties shall be the financial responsibility of Seller. </w:t>
      </w:r>
    </w:p>
    <w:p>
      <w:pPr>
        <w:pStyle w:val="ListBullet2"/>
        <w:numPr>
          <w:ilvl w:val="0"/>
          <w:numId w:val="3"/>
        </w:numPr>
        <w:rPr>
          <w:sz w:val="20"/>
        </w:rPr>
      </w:pPr>
      <w:r>
        <w:rPr>
          <w:sz w:val="20"/>
        </w:rPr>
        <w:t>Except as stated in 1. Above, any penalties incurred by Seller in delivering the OFO Quantity shall be the financial responsibility of Buyer.</w:t>
      </w:r>
    </w:p>
    <w:p>
      <w:pPr>
        <w:pStyle w:val="ListBullet2"/>
        <w:numPr>
          <w:ilvl w:val="0"/>
          <w:numId w:val="3"/>
        </w:numPr>
        <w:rPr>
          <w:sz w:val="20"/>
        </w:rPr>
      </w:pPr>
      <w:r>
        <w:rPr>
          <w:sz w:val="20"/>
        </w:rPr>
        <w:t>Any penalties incurred by Seller as a result of its failure to deliver the OFO Quantity shall be the responsibility of Seller.</w:t>
      </w:r>
    </w:p>
    <w:p>
      <w:pPr>
        <w:pStyle w:val="ListBullet2"/>
        <w:numPr>
          <w:ilvl w:val="0"/>
          <w:numId w:val="3"/>
        </w:numPr>
        <w:rPr>
          <w:sz w:val="20"/>
        </w:rPr>
      </w:pPr>
      <w:r>
        <w:rPr>
          <w:sz w:val="20"/>
        </w:rPr>
        <w:t xml:space="preserve">If Seller cannot contact Buyer’s representative to set the OFO Quantity, Seller shall unilaterally set the OFO Quantity, notify Buyer of such OFO Quantity by leaving a telephone message with Buyer and shall be financially responsible for any penalties assessed Seller as a result of Seller delivering a quantity that differs from Buyer’s usage. </w:t>
      </w:r>
    </w:p>
    <w:p>
      <w:pPr>
        <w:pStyle w:val="ListBullet2"/>
        <w:ind w:hanging="0" w:end="0"/>
        <w:rPr>
          <w:sz w:val="20"/>
        </w:rPr>
      </w:pPr>
      <w:r>
        <w:rPr>
          <w:sz w:val="20"/>
        </w:rPr>
      </w:r>
    </w:p>
    <w:p>
      <w:pPr>
        <w:pStyle w:val="ListBullet2"/>
        <w:ind w:hanging="0" w:end="0"/>
        <w:rPr>
          <w:sz w:val="20"/>
        </w:rPr>
      </w:pPr>
      <w:r>
        <w:rPr>
          <w:sz w:val="20"/>
        </w:rPr>
      </w:r>
    </w:p>
    <w:p>
      <w:pPr>
        <w:pStyle w:val="ListBullet2"/>
        <w:ind w:hanging="0" w:end="0"/>
        <w:rPr>
          <w:sz w:val="20"/>
        </w:rPr>
      </w:pPr>
      <w:r>
        <w:rPr>
          <w:sz w:val="20"/>
        </w:rPr>
      </w:r>
    </w:p>
    <w:p>
      <w:pPr>
        <w:pStyle w:val="ListBullet2"/>
        <w:ind w:hanging="0" w:end="0"/>
        <w:rPr>
          <w:sz w:val="20"/>
        </w:rPr>
      </w:pPr>
      <w:r>
        <w:rPr>
          <w:sz w:val="20"/>
        </w:rPr>
      </w:r>
    </w:p>
    <w:p>
      <w:pPr>
        <w:pStyle w:val="ListBullet2"/>
        <w:ind w:hanging="0" w:end="0"/>
        <w:rPr>
          <w:sz w:val="20"/>
        </w:rPr>
      </w:pPr>
      <w:r>
        <w:rPr>
          <w:sz w:val="20"/>
        </w:rPr>
      </w:r>
    </w:p>
    <w:p>
      <w:pPr>
        <w:pStyle w:val="ListBullet2"/>
        <w:numPr>
          <w:ilvl w:val="0"/>
          <w:numId w:val="4"/>
        </w:numPr>
        <w:rPr>
          <w:sz w:val="20"/>
        </w:rPr>
      </w:pPr>
      <w:r>
        <w:rPr>
          <w:sz w:val="20"/>
        </w:rPr>
        <w:t>If Buyer’s usage on any day is higher than the BDQ, Buyer shall purchase such difference from Seller at a Price equal to the Mid-Point Index, as posted in Financial Times “</w:t>
      </w:r>
      <w:r>
        <w:rPr>
          <w:sz w:val="20"/>
          <w:u w:val="single"/>
        </w:rPr>
        <w:t>Gas Daily</w:t>
      </w:r>
      <w:r>
        <w:rPr>
          <w:sz w:val="20"/>
        </w:rPr>
        <w:t xml:space="preserve">,” Publication’s Daily Price Survey, under the heading “Citygates,” for PG&amp;E City Gate, mid-point of the common range. </w:t>
      </w:r>
    </w:p>
    <w:p>
      <w:pPr>
        <w:pStyle w:val="ListBullet2"/>
        <w:ind w:hanging="0" w:start="0" w:end="0"/>
        <w:rPr>
          <w:sz w:val="20"/>
        </w:rPr>
      </w:pPr>
      <w:r>
        <w:rPr>
          <w:sz w:val="20"/>
        </w:rPr>
      </w:r>
    </w:p>
    <w:p>
      <w:pPr>
        <w:pStyle w:val="ListBullet2"/>
        <w:numPr>
          <w:ilvl w:val="0"/>
          <w:numId w:val="4"/>
        </w:numPr>
        <w:rPr>
          <w:sz w:val="20"/>
        </w:rPr>
      </w:pPr>
      <w:r>
        <w:rPr>
          <w:sz w:val="20"/>
        </w:rPr>
        <w:t xml:space="preserve"> </w:t>
      </w:r>
      <w:r>
        <w:rPr>
          <w:sz w:val="20"/>
        </w:rPr>
        <w:t>If Buyer’s usage on any day is lower than the BDQ, Seller shall purchase such quantity from Buyer at a Price equal to the Mid-Point Index, as posted in Financial Times “</w:t>
      </w:r>
      <w:r>
        <w:rPr>
          <w:sz w:val="20"/>
          <w:u w:val="single"/>
        </w:rPr>
        <w:t>Gas Daily</w:t>
      </w:r>
      <w:r>
        <w:rPr>
          <w:sz w:val="20"/>
        </w:rPr>
        <w:t xml:space="preserve">,” Publication’s Daily Price Survey, under the heading “Citygates,” for PG&amp;E City Gate, mid-point of the common range. </w:t>
      </w:r>
    </w:p>
    <w:p>
      <w:pPr>
        <w:pStyle w:val="ListBullet2"/>
        <w:ind w:hanging="0" w:start="0" w:end="0"/>
        <w:rPr>
          <w:sz w:val="20"/>
        </w:rPr>
      </w:pPr>
      <w:r>
        <w:rPr>
          <w:sz w:val="20"/>
        </w:rPr>
      </w:r>
    </w:p>
    <w:p>
      <w:pPr>
        <w:pStyle w:val="Normal"/>
        <w:rPr>
          <w:sz w:val="20"/>
        </w:rPr>
      </w:pPr>
      <w:r>
        <w:rPr>
          <w:sz w:val="20"/>
        </w:rPr>
      </w:r>
    </w:p>
    <w:p>
      <w:pPr>
        <w:pStyle w:val="Normal"/>
        <w:rPr/>
      </w:pPr>
      <w:r>
        <w:rPr/>
      </w:r>
    </w:p>
    <w:p>
      <w:pPr>
        <w:pStyle w:val="Normal"/>
        <w:rPr/>
      </w:pPr>
      <w:r>
        <w:rPr/>
      </w:r>
    </w:p>
    <w:p>
      <w:pPr>
        <w:pStyle w:val="Normal"/>
        <w:tabs>
          <w:tab w:val="clear" w:pos="720"/>
          <w:tab w:val="left" w:pos="4320" w:leader="none"/>
          <w:tab w:val="left" w:pos="8640" w:leader="none"/>
        </w:tabs>
        <w:jc w:val="both"/>
        <w:rPr/>
      </w:pPr>
      <w:r>
        <w:rPr/>
        <w:t>Other:</w:t>
      </w:r>
    </w:p>
    <w:p>
      <w:pPr>
        <w:pStyle w:val="Normal"/>
        <w:tabs>
          <w:tab w:val="clear" w:pos="720"/>
          <w:tab w:val="left" w:pos="4320" w:leader="none"/>
          <w:tab w:val="left" w:pos="8640" w:leader="none"/>
        </w:tabs>
        <w:jc w:val="both"/>
        <w:rPr/>
      </w:pPr>
      <w:r>
        <w:rPr/>
      </w:r>
    </w:p>
    <w:p>
      <w:pPr>
        <w:pStyle w:val="Normal"/>
        <w:numPr>
          <w:ilvl w:val="0"/>
          <w:numId w:val="2"/>
        </w:numPr>
        <w:tabs>
          <w:tab w:val="clear" w:pos="720"/>
          <w:tab w:val="left" w:pos="8640" w:leader="none"/>
        </w:tabs>
        <w:jc w:val="both"/>
        <w:rPr/>
      </w:pPr>
      <w:r>
        <w:rPr/>
        <w:t xml:space="preserve">Seller shall maintain a spreadsheet indicating the BDQ, DCQ, Buyer’s usage and the relevant </w:t>
      </w:r>
      <w:r>
        <w:rPr>
          <w:u w:val="single"/>
        </w:rPr>
        <w:t>Natural Gas Intelligence</w:t>
      </w:r>
      <w:r>
        <w:rPr/>
        <w:t xml:space="preserve"> and </w:t>
      </w:r>
      <w:r>
        <w:rPr>
          <w:u w:val="single"/>
        </w:rPr>
        <w:t>Gas Daily</w:t>
      </w:r>
      <w:r>
        <w:rPr/>
        <w:t xml:space="preserve"> prices.  This spreadsheet shall be provided to Buyer on a regular basis.</w:t>
      </w:r>
    </w:p>
    <w:p>
      <w:pPr>
        <w:pStyle w:val="Normal"/>
        <w:numPr>
          <w:ilvl w:val="0"/>
          <w:numId w:val="2"/>
        </w:numPr>
        <w:tabs>
          <w:tab w:val="clear" w:pos="720"/>
          <w:tab w:val="left" w:pos="8640" w:leader="none"/>
        </w:tabs>
        <w:jc w:val="both"/>
        <w:rPr/>
      </w:pPr>
      <w:r>
        <w:rPr/>
        <w:t xml:space="preserve">The prices proposed in the Term Sheet is indicative only and notwithstanding ENA will not hold the pricing open as a legally binding offer.  ENA expressly reserves the right to change the pricing in this Term Sheet at any time and shall only be bound to any pricing upon execution of an acceptable definitive agreement on all terms and conditions.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lowerLetter"/>
      <w:lvlText w:val="%1."/>
      <w:lvlJc w:val="start"/>
      <w:pPr>
        <w:tabs>
          <w:tab w:val="num" w:pos="1080"/>
        </w:tabs>
        <w:ind w:start="1080" w:hanging="360"/>
      </w:pPr>
      <w:rPr/>
    </w:lvl>
  </w:abstractNum>
  <w:abstractNum w:abstractNumId="4">
    <w:lvl w:ilvl="0">
      <w:start w:val="1"/>
      <w:numFmt w:val="decimal"/>
      <w:lvlText w:val="%1."/>
      <w:lvlJc w:val="start"/>
      <w:pPr>
        <w:tabs>
          <w:tab w:val="num" w:pos="360"/>
        </w:tabs>
        <w:ind w:start="360" w:hanging="360"/>
      </w:pPr>
      <w:rPr>
        <w:sz w:val="22"/>
        <w:rFonts w:ascii="Times New Roman" w:hAnsi="Times New Roman" w:cs="Times New Roman"/>
      </w:rPr>
    </w:lvl>
  </w:abstractNum>
  <w:abstractNum w:abstractNumId="5">
    <w:lvl w:ilvl="0">
      <w:start w:val="2"/>
      <w:numFmt w:val="upperRoman"/>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tabs>
        <w:tab w:val="clear" w:pos="720"/>
        <w:tab w:val="left" w:pos="360" w:leader="none"/>
      </w:tabs>
      <w:spacing w:before="0" w:after="120"/>
      <w:ind w:hanging="0" w:start="0" w:end="14"/>
      <w:outlineLvl w:val="1"/>
    </w:pPr>
    <w:rPr>
      <w:b/>
    </w:rPr>
  </w:style>
  <w:style w:type="paragraph" w:styleId="Heading3">
    <w:name w:val="heading 3"/>
    <w:basedOn w:val="Normal"/>
    <w:next w:val="Normal"/>
    <w:qFormat/>
    <w:pPr>
      <w:keepNext w:val="true"/>
      <w:numPr>
        <w:ilvl w:val="0"/>
        <w:numId w:val="5"/>
      </w:numPr>
      <w:spacing w:before="0" w:after="120"/>
      <w:ind w:hanging="0" w:start="0" w:end="14"/>
      <w:jc w:val="both"/>
      <w:outlineLvl w:val="2"/>
    </w:pPr>
    <w:rPr>
      <w:b/>
    </w:rPr>
  </w:style>
  <w:style w:type="paragraph" w:styleId="Heading4">
    <w:name w:val="heading 4"/>
    <w:basedOn w:val="Normal"/>
    <w:next w:val="Normal"/>
    <w:qFormat/>
    <w:pPr>
      <w:keepNext w:val="true"/>
      <w:numPr>
        <w:ilvl w:val="3"/>
        <w:numId w:val="1"/>
      </w:numPr>
      <w:spacing w:lineRule="auto" w:line="360" w:before="0" w:after="120"/>
      <w:ind w:hanging="360" w:start="360" w:end="14"/>
      <w:jc w:val="both"/>
      <w:outlineLvl w:val="3"/>
    </w:pPr>
    <w:rPr>
      <w:b/>
    </w:rPr>
  </w:style>
  <w:style w:type="paragraph" w:styleId="Heading5">
    <w:name w:val="heading 5"/>
    <w:basedOn w:val="Normal"/>
    <w:next w:val="Normal"/>
    <w:qFormat/>
    <w:pPr>
      <w:keepNext w:val="true"/>
      <w:numPr>
        <w:ilvl w:val="4"/>
        <w:numId w:val="1"/>
      </w:numPr>
      <w:tabs>
        <w:tab w:val="clear" w:pos="720"/>
        <w:tab w:val="left" w:pos="360" w:leader="none"/>
      </w:tabs>
      <w:spacing w:before="0" w:after="120"/>
      <w:ind w:hanging="0" w:start="0" w:end="14"/>
      <w:jc w:val="both"/>
      <w:outlineLvl w:val="4"/>
    </w:pPr>
    <w:rPr>
      <w:b/>
    </w:rPr>
  </w:style>
  <w:style w:type="paragraph" w:styleId="Heading6">
    <w:name w:val="heading 6"/>
    <w:basedOn w:val="Normal"/>
    <w:next w:val="Normal"/>
    <w:qFormat/>
    <w:pPr>
      <w:keepNext w:val="true"/>
      <w:numPr>
        <w:ilvl w:val="5"/>
        <w:numId w:val="1"/>
      </w:numPr>
      <w:ind w:hanging="360" w:start="360" w:end="0"/>
      <w:outlineLvl w:val="5"/>
    </w:pPr>
    <w:rPr>
      <w:b/>
    </w:rPr>
  </w:style>
  <w:style w:type="paragraph" w:styleId="Heading7">
    <w:name w:val="heading 7"/>
    <w:basedOn w:val="Normal"/>
    <w:next w:val="Normal"/>
    <w:qFormat/>
    <w:pPr>
      <w:keepNext w:val="true"/>
      <w:numPr>
        <w:ilvl w:val="6"/>
        <w:numId w:val="1"/>
      </w:numPr>
      <w:ind w:hanging="0" w:start="648" w:end="0"/>
      <w:outlineLvl w:val="6"/>
    </w:pPr>
    <w:rPr>
      <w:b/>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rFonts w:ascii="Times New Roman" w:hAnsi="Times New Roman" w:cs="Times New Roman"/>
      <w:sz w:val="22"/>
    </w:rPr>
  </w:style>
  <w:style w:type="character" w:styleId="WW8Num13z0">
    <w:name w:val="WW8Num13z0"/>
    <w:qFormat/>
    <w:rPr/>
  </w:style>
  <w:style w:type="character" w:styleId="WW8Num14z0">
    <w:name w:val="WW8Num14z0"/>
    <w:qFormat/>
    <w:rPr/>
  </w:style>
  <w:style w:type="character" w:styleId="WW8Num15z0">
    <w:name w:val="WW8Num15z0"/>
    <w:qFormat/>
    <w:rPr>
      <w:b w:val="false"/>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before="0" w:after="120"/>
    </w:pPr>
    <w:rPr>
      <w:rFonts w:ascii="Arial" w:hAnsi="Arial" w:cs="Arial"/>
      <w:sz w:val="24"/>
    </w:rPr>
  </w:style>
  <w:style w:type="paragraph" w:styleId="List">
    <w:name w:val="List"/>
    <w:basedOn w:val="Normal"/>
    <w:pPr>
      <w:ind w:hanging="360" w:start="360" w:end="0"/>
    </w:pPr>
    <w:rPr>
      <w:sz w:val="24"/>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2">
    <w:name w:val="List Bullet 2"/>
    <w:basedOn w:val="Normal"/>
    <w:pPr>
      <w:ind w:hanging="360" w:start="720" w:end="0"/>
    </w:pPr>
    <w:rPr>
      <w:sz w:val="24"/>
    </w:rPr>
  </w:style>
  <w:style w:type="paragraph" w:styleId="ListBullet3">
    <w:name w:val="List Bullet 3"/>
    <w:basedOn w:val="Normal"/>
    <w:pPr>
      <w:ind w:hanging="360" w:start="1080" w:end="0"/>
    </w:pPr>
    <w:rPr>
      <w:sz w:val="24"/>
    </w:rPr>
  </w:style>
  <w:style w:type="paragraph" w:styleId="BodyTextIndent">
    <w:name w:val="Body Text Indent"/>
    <w:basedOn w:val="Normal"/>
    <w:pPr>
      <w:ind w:hanging="360" w:start="1080" w:end="0"/>
    </w:pPr>
    <w:rPr/>
  </w:style>
  <w:style w:type="paragraph" w:styleId="BlockText">
    <w:name w:val="Block Text"/>
    <w:basedOn w:val="Normal"/>
    <w:qFormat/>
    <w:pPr>
      <w:tabs>
        <w:tab w:val="clear" w:pos="720"/>
        <w:tab w:val="left" w:pos="360" w:leader="none"/>
      </w:tabs>
      <w:spacing w:before="0" w:after="120"/>
      <w:ind w:hanging="360" w:start="1080" w:end="14"/>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2001-09-07T11:43:00Z</dcterms:created>
  <dc:creator>EW/LN/CB</dc:creator>
  <dc:description/>
  <cp:keywords>Ethan</cp:keywords>
  <dc:language>en-CA</dc:language>
  <cp:lastModifiedBy>kward</cp:lastModifiedBy>
  <cp:lastPrinted>2001-03-27T13:57:00Z</cp:lastPrinted>
  <dcterms:modified xsi:type="dcterms:W3CDTF">2001-09-07T17:57:00Z</dcterms:modified>
  <cp:revision>7</cp:revision>
  <dc:subject/>
  <dc:title>Ethan Frome</dc:title>
</cp:coreProperties>
</file>