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NGPL SUPPLY AREA DEAL SUMMARY</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 xml:space="preserve">Enron North America  - Upstream Origination (ENA) seeks to establish a long position on Natural Gas Pipeline to serve the unique requirements of intra-day, short-notice users of natural gas or more commonly known as peaking power plants.  This position seeks to capture higher margins on gas sells by leveraging ENA’s existing knowledge of the unique operational and gas procurement irregularities associated with the operation of peakers gained from the operating realities of managing the seven GENCO plants.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 xml:space="preserve">In summary, this position allows ENA to essentially control (at a relatively low holding cost) all operationally available capacity on NGPL from Chicago and South Texas into Louisiana where NGPL interconnects into numerous interstate pipelines, such as TGT, TGP, FGT, CGT and ANR.  Equally important, it provides an opportunity for price discovery of intra-day transport optionality. Terms and conditions are outlined below.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pPr>
      <w:r>
        <w:rPr>
          <w:b/>
          <w:color w:val="000000"/>
          <w:lang w:eastAsia="en-US"/>
        </w:rPr>
        <w:t>Term:</w:t>
      </w:r>
      <w:r>
        <w:rPr>
          <w:color w:val="000000"/>
          <w:lang w:eastAsia="en-US"/>
        </w:rPr>
        <w:tab/>
        <w:tab/>
        <w:tab/>
        <w:t>July 6</w:t>
      </w:r>
      <w:r>
        <w:rPr>
          <w:color w:val="000000"/>
          <w:vertAlign w:val="superscript"/>
          <w:lang w:eastAsia="en-US"/>
        </w:rPr>
        <w:t>th</w:t>
      </w:r>
      <w:r>
        <w:rPr>
          <w:color w:val="000000"/>
          <w:lang w:eastAsia="en-US"/>
        </w:rPr>
        <w:t xml:space="preserve"> through September 30</w:t>
      </w:r>
      <w:r>
        <w:rPr>
          <w:color w:val="000000"/>
          <w:vertAlign w:val="superscript"/>
          <w:lang w:eastAsia="en-US"/>
        </w:rPr>
        <w:t>th</w:t>
      </w:r>
      <w:r>
        <w:rPr>
          <w:color w:val="000000"/>
          <w:lang w:eastAsia="en-US"/>
        </w:rPr>
        <w:t>, 2000</w:t>
      </w:r>
    </w:p>
    <w:p>
      <w:pPr>
        <w:pStyle w:val="Normal"/>
        <w:spacing w:lineRule="atLeast" w:line="240"/>
        <w:rPr>
          <w:color w:val="000000"/>
          <w:lang w:eastAsia="en-US"/>
        </w:rPr>
      </w:pPr>
      <w:r>
        <w:rPr>
          <w:b/>
        </w:rPr>
        <w:t>Volume:</w:t>
      </w:r>
      <w:r>
        <w:rPr/>
        <w:tab/>
        <w:tab/>
        <w:t>400,000 Dth/day (50,000 STX and 350,000 Chicago)</w:t>
      </w:r>
    </w:p>
    <w:p>
      <w:pPr>
        <w:pStyle w:val="Normal"/>
        <w:spacing w:lineRule="atLeast" w:line="240"/>
        <w:rPr/>
      </w:pPr>
      <w:r>
        <w:rPr>
          <w:b/>
        </w:rPr>
        <w:t>Demand Charges</w:t>
      </w:r>
      <w:r>
        <w:rPr/>
        <w:tab/>
        <w:t>approx. $260,000/month ($0.652 Dth/month</w:t>
      </w:r>
    </w:p>
    <w:p>
      <w:pPr>
        <w:pStyle w:val="Normal"/>
        <w:spacing w:lineRule="atLeast" w:line="240"/>
        <w:ind w:firstLine="720" w:start="1440" w:end="0"/>
        <w:rPr>
          <w:color w:val="000000"/>
          <w:lang w:eastAsia="en-US"/>
        </w:rPr>
      </w:pPr>
      <w:r>
        <w:rPr>
          <w:b/>
        </w:rPr>
        <w:t>Commodity Charges</w:t>
        <w:tab/>
      </w:r>
    </w:p>
    <w:p>
      <w:pPr>
        <w:pStyle w:val="Normal"/>
        <w:spacing w:lineRule="atLeast" w:line="240"/>
        <w:ind w:firstLine="720" w:end="0"/>
        <w:rPr>
          <w:color w:val="000000"/>
          <w:lang w:eastAsia="en-US"/>
        </w:rPr>
      </w:pPr>
      <w:r>
        <w:rPr>
          <w:color w:val="000000"/>
          <w:lang w:eastAsia="en-US"/>
        </w:rPr>
      </w:r>
    </w:p>
    <w:p>
      <w:pPr>
        <w:pStyle w:val="Normal"/>
        <w:spacing w:lineRule="atLeast" w:line="240"/>
        <w:ind w:firstLine="720" w:end="0"/>
        <w:rPr>
          <w:color w:val="000000"/>
          <w:lang w:eastAsia="en-US"/>
        </w:rPr>
      </w:pPr>
      <w:r>
        <w:rPr>
          <w:color w:val="000000"/>
          <w:lang w:eastAsia="en-US"/>
        </w:rPr>
        <w:tab/>
        <w:tab/>
        <w:t>Secondary Delivery</w:t>
        <w:tab/>
        <w:t>Secondary Delivery</w:t>
      </w:r>
    </w:p>
    <w:p>
      <w:pPr>
        <w:pStyle w:val="Normal"/>
        <w:spacing w:lineRule="atLeast" w:line="240"/>
        <w:ind w:firstLine="720" w:end="0"/>
        <w:rPr/>
      </w:pPr>
      <w:r>
        <w:rPr>
          <w:color w:val="000000"/>
          <w:u w:val="single"/>
          <w:lang w:eastAsia="en-US"/>
        </w:rPr>
        <w:t>Receipt</w:t>
      </w:r>
      <w:r>
        <w:rPr>
          <w:color w:val="000000"/>
          <w:lang w:eastAsia="en-US"/>
        </w:rPr>
        <w:tab/>
        <w:tab/>
      </w:r>
      <w:r>
        <w:rPr>
          <w:color w:val="000000"/>
          <w:u w:val="single"/>
          <w:lang w:eastAsia="en-US"/>
        </w:rPr>
        <w:t>West of Station 346</w:t>
      </w:r>
      <w:r>
        <w:rPr>
          <w:color w:val="000000"/>
          <w:lang w:eastAsia="en-US"/>
        </w:rPr>
        <w:tab/>
      </w:r>
      <w:r>
        <w:rPr>
          <w:color w:val="000000"/>
          <w:u w:val="single"/>
          <w:lang w:eastAsia="en-US"/>
        </w:rPr>
        <w:t>East of 346 (Louisiana) (*)</w:t>
      </w:r>
    </w:p>
    <w:p>
      <w:pPr>
        <w:pStyle w:val="Normal"/>
        <w:spacing w:lineRule="atLeast" w:line="240"/>
        <w:ind w:firstLine="720" w:end="0"/>
        <w:rPr>
          <w:color w:val="000000"/>
          <w:lang w:eastAsia="en-US"/>
        </w:rPr>
      </w:pPr>
      <w:r>
        <w:rPr>
          <w:color w:val="000000"/>
          <w:lang w:eastAsia="en-US"/>
        </w:rPr>
        <w:t>STX</w:t>
        <w:tab/>
        <w:tab/>
        <w:t>$0.0018</w:t>
        <w:tab/>
        <w:tab/>
        <w:tab/>
        <w:t>$0.0218</w:t>
      </w:r>
    </w:p>
    <w:p>
      <w:pPr>
        <w:pStyle w:val="Normal"/>
        <w:spacing w:lineRule="atLeast" w:line="240"/>
        <w:ind w:firstLine="720" w:end="0"/>
        <w:rPr>
          <w:color w:val="000000"/>
          <w:lang w:eastAsia="en-US"/>
        </w:rPr>
      </w:pPr>
      <w:r>
        <w:rPr>
          <w:color w:val="000000"/>
          <w:lang w:eastAsia="en-US"/>
        </w:rPr>
        <w:t>TXOK</w:t>
        <w:tab/>
        <w:tab/>
        <w:t>$0.0065</w:t>
        <w:tab/>
        <w:tab/>
        <w:tab/>
        <w:t>$0.0265</w:t>
      </w:r>
    </w:p>
    <w:p>
      <w:pPr>
        <w:pStyle w:val="Normal"/>
        <w:spacing w:lineRule="atLeast" w:line="240"/>
        <w:ind w:firstLine="720" w:end="0"/>
        <w:rPr>
          <w:color w:val="000000"/>
          <w:lang w:eastAsia="en-US"/>
        </w:rPr>
      </w:pPr>
      <w:r>
        <w:rPr>
          <w:color w:val="000000"/>
          <w:lang w:eastAsia="en-US"/>
        </w:rPr>
        <w:t>LA</w:t>
        <w:tab/>
        <w:tab/>
        <w:t>$0.0053</w:t>
        <w:tab/>
        <w:tab/>
        <w:tab/>
        <w:t>$0.0253</w:t>
      </w:r>
    </w:p>
    <w:p>
      <w:pPr>
        <w:pStyle w:val="Normal"/>
        <w:spacing w:lineRule="atLeast" w:line="240"/>
        <w:ind w:firstLine="720" w:end="0"/>
        <w:rPr/>
      </w:pPr>
      <w:r>
        <w:rPr/>
        <w:t>CHICAGO</w:t>
        <w:tab/>
        <w:t>$0.0102</w:t>
        <w:tab/>
        <w:tab/>
        <w:tab/>
        <w:t>$0.0302</w:t>
      </w:r>
    </w:p>
    <w:p>
      <w:pPr>
        <w:pStyle w:val="Normal"/>
        <w:spacing w:lineRule="atLeast" w:line="240"/>
        <w:ind w:firstLine="720" w:end="0"/>
        <w:rPr/>
      </w:pPr>
      <w:r>
        <w:rPr/>
      </w:r>
    </w:p>
    <w:p>
      <w:pPr>
        <w:pStyle w:val="Heading3"/>
        <w:ind w:hanging="0" w:start="0"/>
        <w:rPr/>
      </w:pPr>
      <w:r>
        <w:rPr/>
        <w:t>Fuel Charges</w:t>
      </w:r>
    </w:p>
    <w:p>
      <w:pPr>
        <w:pStyle w:val="Normal"/>
        <w:spacing w:lineRule="atLeast" w:line="240"/>
        <w:ind w:firstLine="720" w:end="0"/>
        <w:rPr>
          <w:color w:val="000000"/>
          <w:lang w:eastAsia="en-US"/>
        </w:rPr>
      </w:pPr>
      <w:r>
        <w:rPr>
          <w:color w:val="000000"/>
          <w:lang w:eastAsia="en-US"/>
        </w:rPr>
        <w:t>STX</w:t>
        <w:tab/>
        <w:tab/>
        <w:tab/>
        <w:t>2.26%</w:t>
      </w:r>
    </w:p>
    <w:p>
      <w:pPr>
        <w:pStyle w:val="Normal"/>
        <w:spacing w:lineRule="atLeast" w:line="240"/>
        <w:ind w:firstLine="720" w:end="0"/>
        <w:rPr>
          <w:color w:val="000000"/>
          <w:lang w:eastAsia="en-US"/>
        </w:rPr>
      </w:pPr>
      <w:r>
        <w:rPr>
          <w:color w:val="000000"/>
          <w:lang w:eastAsia="en-US"/>
        </w:rPr>
        <w:t>TXOK</w:t>
        <w:tab/>
        <w:tab/>
        <w:tab/>
        <w:t>1.96%</w:t>
      </w:r>
    </w:p>
    <w:p>
      <w:pPr>
        <w:pStyle w:val="Normal"/>
        <w:spacing w:lineRule="atLeast" w:line="240"/>
        <w:ind w:firstLine="720" w:end="0"/>
        <w:rPr>
          <w:color w:val="000000"/>
          <w:lang w:eastAsia="en-US"/>
        </w:rPr>
      </w:pPr>
      <w:r>
        <w:rPr>
          <w:color w:val="000000"/>
          <w:lang w:eastAsia="en-US"/>
        </w:rPr>
        <w:t>LA</w:t>
        <w:tab/>
        <w:tab/>
        <w:tab/>
        <w:t>1.10%</w:t>
      </w:r>
    </w:p>
    <w:p>
      <w:pPr>
        <w:pStyle w:val="Normal"/>
        <w:spacing w:lineRule="atLeast" w:line="240"/>
        <w:ind w:firstLine="720" w:end="0"/>
        <w:rPr>
          <w:color w:val="000000"/>
          <w:lang w:eastAsia="en-US"/>
        </w:rPr>
      </w:pPr>
      <w:r>
        <w:rPr>
          <w:color w:val="000000"/>
          <w:lang w:eastAsia="en-US"/>
        </w:rPr>
        <w:t>CHICAGO</w:t>
        <w:tab/>
        <w:tab/>
        <w:t>0.86%</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w:t>
        <w:tab/>
        <w:t>- Rates plus, aca, and surcharges (currently -.0015).</w:t>
      </w:r>
    </w:p>
    <w:p>
      <w:pPr>
        <w:pStyle w:val="Normal"/>
        <w:spacing w:lineRule="atLeast" w:line="240"/>
        <w:ind w:firstLine="720" w:end="0"/>
        <w:rPr>
          <w:color w:val="000000"/>
          <w:lang w:eastAsia="en-US"/>
        </w:rPr>
      </w:pPr>
      <w:r>
        <w:rPr>
          <w:color w:val="000000"/>
          <w:lang w:eastAsia="en-US"/>
        </w:rPr>
        <w:t>- Sonat Erath delivery point is $0.02 Dth/day adder on commodity</w:t>
      </w:r>
    </w:p>
    <w:p>
      <w:pPr>
        <w:pStyle w:val="Normal"/>
        <w:spacing w:lineRule="atLeast" w:line="240"/>
        <w:ind w:firstLine="720" w:end="0"/>
        <w:rPr>
          <w:color w:val="000000"/>
          <w:lang w:eastAsia="en-US"/>
        </w:rPr>
      </w:pPr>
      <w:r>
        <w:rPr>
          <w:color w:val="000000"/>
          <w:lang w:eastAsia="en-US"/>
        </w:rPr>
        <w:t xml:space="preserve">- Secondary rights at all receipt points in the zones traversed by the Primary Paths including </w:t>
      </w:r>
    </w:p>
    <w:p>
      <w:pPr>
        <w:pStyle w:val="Normal"/>
        <w:spacing w:lineRule="atLeast" w:line="240"/>
        <w:ind w:start="720" w:end="0"/>
        <w:rPr>
          <w:color w:val="000000"/>
          <w:lang w:eastAsia="en-US"/>
        </w:rPr>
      </w:pPr>
      <w:r>
        <w:rPr>
          <w:color w:val="000000"/>
          <w:lang w:eastAsia="en-US"/>
        </w:rPr>
        <w:t xml:space="preserve">  </w:t>
      </w:r>
      <w:r>
        <w:rPr>
          <w:color w:val="000000"/>
          <w:lang w:eastAsia="en-US"/>
        </w:rPr>
        <w:t>Pooling and Storage Points in zones at the above discounted rates.  Secondary rights to delivery</w:t>
      </w:r>
    </w:p>
    <w:p>
      <w:pPr>
        <w:pStyle w:val="Normal"/>
        <w:spacing w:lineRule="atLeast" w:line="240"/>
        <w:ind w:firstLine="720" w:end="0"/>
        <w:rPr>
          <w:color w:val="000000"/>
          <w:lang w:eastAsia="en-US"/>
        </w:rPr>
      </w:pPr>
      <w:r>
        <w:rPr>
          <w:color w:val="000000"/>
          <w:lang w:eastAsia="en-US"/>
        </w:rPr>
        <w:t xml:space="preserve">  </w:t>
      </w:r>
      <w:r>
        <w:rPr>
          <w:color w:val="000000"/>
          <w:lang w:eastAsia="en-US"/>
        </w:rPr>
        <w:t>points (transported from Chicago) outside LA and TX at the above discounted rates are limited to</w:t>
      </w:r>
    </w:p>
    <w:p>
      <w:pPr>
        <w:pStyle w:val="Normal"/>
        <w:spacing w:lineRule="atLeast" w:line="240"/>
        <w:ind w:firstLine="720" w:end="0"/>
        <w:rPr>
          <w:color w:val="000000"/>
          <w:lang w:eastAsia="en-US"/>
        </w:rPr>
      </w:pPr>
      <w:r>
        <w:rPr>
          <w:color w:val="000000"/>
          <w:lang w:eastAsia="en-US"/>
        </w:rPr>
        <w:t xml:space="preserve">  </w:t>
      </w:r>
      <w:r>
        <w:rPr>
          <w:color w:val="000000"/>
          <w:lang w:eastAsia="en-US"/>
        </w:rPr>
        <w:t>pipeline interstate interconnects and pools with the exception of the Chicago Pool and MRT</w:t>
      </w:r>
    </w:p>
    <w:p>
      <w:pPr>
        <w:pStyle w:val="Normal"/>
        <w:spacing w:lineRule="atLeast" w:line="240"/>
        <w:ind w:firstLine="720" w:end="0"/>
        <w:rPr>
          <w:color w:val="000000"/>
          <w:lang w:eastAsia="en-US"/>
        </w:rPr>
      </w:pPr>
      <w:r>
        <w:rPr>
          <w:color w:val="000000"/>
          <w:lang w:eastAsia="en-US"/>
        </w:rPr>
        <w:t>- Zero imbalance by month end (the intention is to be @ zero, however, there may be some</w:t>
      </w:r>
    </w:p>
    <w:p>
      <w:pPr>
        <w:pStyle w:val="Normal"/>
        <w:spacing w:lineRule="atLeast" w:line="240"/>
        <w:ind w:firstLine="720" w:end="0"/>
        <w:rPr>
          <w:color w:val="000000"/>
          <w:lang w:eastAsia="en-US"/>
        </w:rPr>
      </w:pPr>
      <w:r>
        <w:rPr>
          <w:color w:val="000000"/>
          <w:lang w:eastAsia="en-US"/>
        </w:rPr>
        <w:t xml:space="preserve">  </w:t>
      </w:r>
      <w:r>
        <w:rPr>
          <w:color w:val="000000"/>
          <w:lang w:eastAsia="en-US"/>
        </w:rPr>
        <w:t>minimal balances we can’t clear and therefore subject to NGPL’s cash out mechanisms).</w:t>
      </w:r>
    </w:p>
    <w:p>
      <w:pPr>
        <w:pStyle w:val="Normal"/>
        <w:spacing w:lineRule="atLeast" w:line="240"/>
        <w:ind w:firstLine="720" w:end="0"/>
        <w:rPr>
          <w:color w:val="000000"/>
          <w:lang w:eastAsia="en-US"/>
        </w:rPr>
      </w:pPr>
      <w:r>
        <w:rPr>
          <w:color w:val="000000"/>
          <w:lang w:eastAsia="en-US"/>
        </w:rPr>
        <w:t>- Daily imbalances, if any, are to be allowed on a best efforts basis by NGPL.</w:t>
      </w:r>
    </w:p>
    <w:p>
      <w:pPr>
        <w:pStyle w:val="Normal"/>
        <w:spacing w:lineRule="atLeast" w:line="240"/>
        <w:ind w:firstLine="720" w:end="0"/>
        <w:rPr>
          <w:color w:val="000000"/>
          <w:lang w:eastAsia="en-US"/>
        </w:rPr>
      </w:pPr>
      <w:r>
        <w:rPr>
          <w:color w:val="000000"/>
          <w:lang w:eastAsia="en-US"/>
        </w:rPr>
        <w:t xml:space="preserve"> </w:t>
      </w:r>
      <w:r>
        <w:rPr>
          <w:color w:val="000000"/>
          <w:lang w:eastAsia="en-US"/>
        </w:rPr>
        <w:t>- Intraday swings allowed on best efforts basis subject to confirmation from upstream/downstream pipes.</w:t>
      </w:r>
    </w:p>
    <w:p>
      <w:pPr>
        <w:pStyle w:val="Normal"/>
        <w:spacing w:lineRule="atLeast" w:line="240"/>
        <w:ind w:firstLine="720" w:end="0"/>
        <w:rPr>
          <w:color w:val="000000"/>
          <w:lang w:eastAsia="en-US"/>
        </w:rPr>
      </w:pPr>
      <w:r>
        <w:rPr>
          <w:color w:val="000000"/>
          <w:lang w:eastAsia="en-US"/>
        </w:rPr>
        <w:t>- Daily Contract Overrun rights at discounted rates up to 100,000 MMBtu/day.</w:t>
      </w:r>
    </w:p>
    <w:p>
      <w:pPr>
        <w:pStyle w:val="Normal"/>
        <w:spacing w:lineRule="atLeast" w:line="240"/>
        <w:ind w:firstLine="720" w:end="0"/>
        <w:rPr>
          <w:color w:val="000000"/>
          <w:lang w:eastAsia="en-US"/>
        </w:rPr>
      </w:pPr>
      <w:r>
        <w:rPr>
          <w:color w:val="000000"/>
          <w:lang w:eastAsia="en-US"/>
        </w:rPr>
        <w:t>- Daily Receipt Zone overruns at twice the applicable zone MDQ (subject to Daily contract overrun)</w:t>
      </w:r>
    </w:p>
    <w:p>
      <w:pPr>
        <w:pStyle w:val="Normal"/>
        <w:spacing w:lineRule="atLeast" w:line="240"/>
        <w:ind w:firstLine="720" w:end="0"/>
        <w:rPr>
          <w:color w:val="000000"/>
          <w:lang w:eastAsia="en-US"/>
        </w:rPr>
      </w:pPr>
      <w:r>
        <w:rPr>
          <w:color w:val="000000"/>
          <w:lang w:eastAsia="en-US"/>
        </w:rPr>
        <w:t>- Award of capacity subject to 2-day capacity auction – which will end July 5, 2000.</w:t>
      </w:r>
    </w:p>
    <w:p>
      <w:pPr>
        <w:pStyle w:val="Normal"/>
        <w:spacing w:lineRule="atLeast" w:line="240"/>
        <w:ind w:start="720" w:end="0"/>
        <w:rPr>
          <w:color w:val="000000"/>
          <w:lang w:eastAsia="en-US"/>
        </w:rPr>
      </w:pPr>
      <w:r>
        <w:rPr>
          <w:color w:val="000000"/>
          <w:lang w:eastAsia="en-US"/>
        </w:rPr>
        <w:t xml:space="preserve">- ENA has the option to purchase up to 1 Bcf from NGPL at the LA supply area pool with a daily cap of </w:t>
      </w:r>
    </w:p>
    <w:p>
      <w:pPr>
        <w:pStyle w:val="Normal"/>
        <w:spacing w:lineRule="atLeast" w:line="240"/>
        <w:ind w:start="720" w:end="0"/>
        <w:rPr>
          <w:color w:val="000000"/>
          <w:lang w:eastAsia="en-US"/>
        </w:rPr>
      </w:pPr>
      <w:r>
        <w:rPr>
          <w:color w:val="000000"/>
          <w:lang w:eastAsia="en-US"/>
        </w:rPr>
        <w:t xml:space="preserve">  </w:t>
      </w:r>
      <w:r>
        <w:rPr>
          <w:color w:val="000000"/>
          <w:lang w:eastAsia="en-US"/>
        </w:rPr>
        <w:t>50,000 MMBtu/day.  The rate will be GDA-mid + $0.025 MMBtu.</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color w:val="000000"/>
      <w:u w:val="single"/>
      <w:lang w:eastAsia="en-US"/>
    </w:rPr>
  </w:style>
  <w:style w:type="paragraph" w:styleId="Heading2">
    <w:name w:val="heading 2"/>
    <w:basedOn w:val="Normal"/>
    <w:next w:val="Normal"/>
    <w:qFormat/>
    <w:pPr>
      <w:keepNext w:val="true"/>
      <w:numPr>
        <w:ilvl w:val="1"/>
        <w:numId w:val="1"/>
      </w:numPr>
      <w:spacing w:lineRule="atLeast" w:line="240"/>
      <w:outlineLvl w:val="1"/>
    </w:pPr>
    <w:rPr>
      <w:rFonts w:ascii="Helv;Arial" w:hAnsi="Helv;Arial" w:cs="Helv;Arial"/>
      <w:b/>
      <w:color w:val="000000"/>
      <w:u w:val="single"/>
      <w:lang w:eastAsia="en-US"/>
    </w:rPr>
  </w:style>
  <w:style w:type="paragraph" w:styleId="Heading3">
    <w:name w:val="heading 3"/>
    <w:basedOn w:val="Normal"/>
    <w:next w:val="Normal"/>
    <w:qFormat/>
    <w:pPr>
      <w:keepNext w:val="true"/>
      <w:numPr>
        <w:ilvl w:val="2"/>
        <w:numId w:val="1"/>
      </w:numPr>
      <w:spacing w:lineRule="atLeast" w:line="240"/>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spacing w:lineRule="atLeast" w:line="240"/>
      <w:jc w:val="center"/>
    </w:pPr>
    <w:rPr>
      <w:rFonts w:ascii="Helv;Arial" w:hAnsi="Helv;Arial" w:cs="Helv;Arial"/>
      <w:b/>
      <w:color w:val="000000"/>
      <w:sz w:val="36"/>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2000-06-23T16:07:00Z</dcterms:created>
  <dc:creator>ECT</dc:creator>
  <dc:description/>
  <dc:language>en-CA</dc:language>
  <cp:lastModifiedBy>ECT</cp:lastModifiedBy>
  <cp:lastPrinted>2000-06-29T17:39:00Z</cp:lastPrinted>
  <dcterms:modified xsi:type="dcterms:W3CDTF">2000-07-06T18:19:00Z</dcterms:modified>
  <cp:revision>11</cp:revision>
  <dc:subject/>
  <dc:title>NGPL SUPPLY AREA DEAL</dc:title>
</cp:coreProperties>
</file>