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NGL Basics</w:t>
      </w:r>
    </w:p>
    <w:tbl>
      <w:tblPr>
        <w:tblW w:w="11415" w:type="dxa"/>
        <w:jc w:val="start"/>
        <w:tblInd w:w="-45" w:type="dxa"/>
        <w:tblLayout w:type="fixed"/>
        <w:tblCellMar>
          <w:top w:w="15" w:type="dxa"/>
          <w:start w:w="15" w:type="dxa"/>
          <w:bottom w:w="15" w:type="dxa"/>
          <w:end w:w="15" w:type="dxa"/>
        </w:tblCellMar>
      </w:tblPr>
      <w:tblGrid>
        <w:gridCol w:w="60"/>
        <w:gridCol w:w="481"/>
        <w:gridCol w:w="74"/>
        <w:gridCol w:w="5325"/>
        <w:gridCol w:w="270"/>
        <w:gridCol w:w="3750"/>
        <w:gridCol w:w="1455"/>
      </w:tblGrid>
      <w:tr>
        <w:trPr>
          <w:trHeight w:val="1485" w:hRule="atLeast"/>
        </w:trPr>
        <w:tc>
          <w:tcPr>
            <w:tcW w:w="9960" w:type="dxa"/>
            <w:gridSpan w:val="6"/>
            <w:tcBorders/>
            <w:vAlign w:val="center"/>
          </w:tcPr>
          <w:p>
            <w:pPr>
              <w:pStyle w:val="Normal"/>
              <w:rPr>
                <w:sz w:val="24"/>
                <w:szCs w:val="24"/>
              </w:rPr>
            </w:pPr>
            <w:r>
              <w:rPr>
                <w:rFonts w:cs="Arial"/>
              </w:rPr>
              <w:t xml:space="preserve">Liquefied petroleum gas (LP Gas) is a refined natural gas developed for use beyond the gas mains. It consists mainly of propane and butane. It is a petroleum product found in both gas and oil wells. The LP Gases are removed from the rest of the petroleum products at a natural gas processing plant or at a petroleum refinery, then transported by ship, rail, pipelines and highway transports to bulk storage plants around the country. LP gases are produced from oil and gas wells in the following manner: </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 xml:space="preserve">In a producing well, oil and wet gas flows from the underground reservoir to the surface. </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At the surface, the mixture is led into a trap, which is a separator that allows the crude oil to flow to the bottom and pass on to the oil storage tank.</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The wet gas comes off the trap and is piped to the gasoline absorption plant. This wet gas contains: a.) natural gasoline b.) liquefied petroleum gases, and c.) natural gas.</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In the gasoline absorption plant, the gas flows through absorption oil, which removes the natural gasoline and liquefied petroleum gases, while the dry (or natural) gas comes off the top and is piped to towns and cities for distribution by gas utility companies.</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The absorbing oil, now saturated with hydrocarbons, is piped to a still. There, the combination of natural gasoline and liquefied petroleum gases is boiled off in the form of "wild gasoline". The absorption oil is then returned to the top of the absorber.</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c>
          <w:tcPr>
            <w:tcW w:w="541" w:type="dxa"/>
            <w:gridSpan w:val="2"/>
            <w:tcBorders/>
            <w:vAlign w:val="center"/>
          </w:tcPr>
          <w:p>
            <w:pPr>
              <w:pStyle w:val="Normal"/>
              <w:snapToGrid w:val="false"/>
              <w:rPr>
                <w:sz w:val="24"/>
                <w:szCs w:val="24"/>
              </w:rPr>
            </w:pPr>
            <w:r>
              <w:rPr>
                <w:sz w:val="24"/>
                <w:szCs w:val="24"/>
              </w:rPr>
            </w:r>
          </w:p>
        </w:tc>
        <w:tc>
          <w:tcPr>
            <w:tcW w:w="9419" w:type="dxa"/>
            <w:gridSpan w:val="4"/>
            <w:tcBorders/>
            <w:vAlign w:val="center"/>
          </w:tcPr>
          <w:p>
            <w:pPr>
              <w:pStyle w:val="Normal"/>
              <w:rPr>
                <w:sz w:val="24"/>
                <w:szCs w:val="24"/>
              </w:rPr>
            </w:pPr>
            <w:r>
              <w:rPr>
                <w:rFonts w:cs="Arial"/>
              </w:rPr>
              <w:br/>
              <w:t>The "wild gasoline" continues to the stabilizer towers, where natural gasoline is removed from the bottom as a finished product, and a mixture of liquid petroleum gases is drawn off the top. The LP Gases drawn off the top can be further treated to break them into a number of products, including: butane, iso-butane, or propane.</w:t>
            </w:r>
          </w:p>
        </w:tc>
        <w:tc>
          <w:tcPr>
            <w:tcW w:w="1455" w:type="dxa"/>
            <w:tcBorders/>
            <w:tcMar>
              <w:top w:w="0" w:type="dxa"/>
              <w:start w:w="0" w:type="dxa"/>
              <w:bottom w:w="0" w:type="dxa"/>
              <w:end w:w="0" w:type="dxa"/>
            </w:tcMar>
          </w:tcPr>
          <w:p>
            <w:pPr>
              <w:pStyle w:val="Normal"/>
              <w:snapToGrid w:val="false"/>
              <w:rPr>
                <w:sz w:val="24"/>
                <w:szCs w:val="24"/>
              </w:rPr>
            </w:pPr>
            <w:r>
              <w:rPr>
                <w:sz w:val="24"/>
                <w:szCs w:val="24"/>
              </w:rPr>
            </w:r>
          </w:p>
        </w:tc>
      </w:tr>
      <w:tr>
        <w:trPr>
          <w:trHeight w:val="30" w:hRule="atLeast"/>
        </w:trPr>
        <w:tc>
          <w:tcPr>
            <w:tcW w:w="60" w:type="dxa"/>
            <w:tcBorders/>
            <w:tcMar>
              <w:top w:w="0" w:type="dxa"/>
              <w:start w:w="0" w:type="dxa"/>
              <w:bottom w:w="0" w:type="dxa"/>
              <w:end w:w="0" w:type="dxa"/>
            </w:tcMar>
          </w:tcPr>
          <w:p>
            <w:pPr>
              <w:pStyle w:val="TableContents"/>
              <w:rPr/>
            </w:pPr>
            <w:r>
              <w:rPr/>
            </w:r>
          </w:p>
        </w:tc>
        <w:tc>
          <w:tcPr>
            <w:tcW w:w="11355" w:type="dxa"/>
            <w:gridSpan w:val="6"/>
            <w:tcBorders/>
            <w:vAlign w:val="center"/>
          </w:tcPr>
          <w:p>
            <w:pPr>
              <w:pStyle w:val="NormalWeb"/>
              <w:snapToGrid w:val="false"/>
              <w:spacing w:lineRule="atLeast" w:line="30" w:before="0" w:after="280"/>
              <w:rPr>
                <w:rFonts w:ascii="Arial" w:hAnsi="Arial" w:cs="Arial"/>
                <w:b/>
                <w:bCs/>
                <w:color w:val="2D19A9"/>
                <w:sz w:val="20"/>
                <w:szCs w:val="20"/>
              </w:rPr>
            </w:pPr>
            <w:r>
              <w:rPr>
                <w:rFonts w:cs="Arial" w:ascii="Arial" w:hAnsi="Arial"/>
                <w:b/>
                <w:bCs/>
                <w:color w:val="2D19A9"/>
                <w:sz w:val="20"/>
                <w:szCs w:val="20"/>
              </w:rPr>
            </w:r>
          </w:p>
          <w:p>
            <w:pPr>
              <w:pStyle w:val="NormalWeb"/>
              <w:spacing w:lineRule="atLeast" w:line="30" w:before="280" w:after="0"/>
              <w:rPr>
                <w:rFonts w:ascii="Arial" w:hAnsi="Arial" w:cs="Arial"/>
                <w:b/>
                <w:bCs/>
                <w:color w:val="2D19A9"/>
                <w:sz w:val="20"/>
                <w:szCs w:val="20"/>
              </w:rPr>
            </w:pPr>
            <w:r>
              <w:rPr>
                <w:rFonts w:cs="Arial" w:ascii="Arial" w:hAnsi="Arial"/>
                <w:b/>
                <w:bCs/>
                <w:color w:val="2D19A9"/>
                <w:sz w:val="20"/>
                <w:szCs w:val="20"/>
              </w:rPr>
              <w:t xml:space="preserve">Basic Characteristics of L-P Gas </w:t>
            </w:r>
          </w:p>
        </w:tc>
      </w:tr>
      <w:tr>
        <w:trPr>
          <w:trHeight w:val="405" w:hRule="atLeast"/>
        </w:trPr>
        <w:tc>
          <w:tcPr>
            <w:tcW w:w="60" w:type="dxa"/>
            <w:tcBorders/>
            <w:tcMar>
              <w:top w:w="0" w:type="dxa"/>
              <w:start w:w="0" w:type="dxa"/>
              <w:bottom w:w="0" w:type="dxa"/>
              <w:end w:w="0" w:type="dxa"/>
            </w:tcMar>
          </w:tcPr>
          <w:p>
            <w:pPr>
              <w:pStyle w:val="Normal"/>
              <w:rPr/>
            </w:pPr>
            <w:r>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 xml:space="preserve">Because of the safety built into the storage containers and equipment, LP Gases are, in many respects, much safer than other petroleum products. However, certain basic properties of the fuel must be understood before any approach to safety is made.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rPr>
                <w:sz w:val="24"/>
                <w:szCs w:val="24"/>
              </w:rPr>
            </w:pPr>
            <w:r>
              <w:rPr>
                <w:rFonts w:cs="Arial"/>
                <w:b/>
                <w:bCs/>
                <w:color w:val="2D19A9"/>
              </w:rPr>
              <w:br/>
              <w:t xml:space="preserve">Why call it LP Gas? </w:t>
            </w:r>
          </w:p>
        </w:tc>
      </w:tr>
      <w:tr>
        <w:trPr>
          <w:trHeight w:val="2025" w:hRule="atLeast"/>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 xml:space="preserve">The product is called Liquefied Petroleum Gas because it is transported and stored in a liquefied state. L-P Gas in its normal state is a colorless gas similar to natural gas. However, during the production process this gas has been compressed into a smaller space, causing it to liquefy and stay in the liquid form until the pressure has been removed. When this pressure is removed, the liquefied gas changes back to its original vapor or gaseous state.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LP Gas is colorless, tasteless, non-toxic and odorless, but it is also volatile (expands rapidly), heavier than air and flammable.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LP Gas vapor is clear and invisible like the air around you. LP Gas liquid is clear like water. In a closed transparent (heavy glass) container, liquid LP Gas looks like water.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LP Gas is non-toxic (not poisonous). However care must be taken that LP Gas vapors not displace air that contains oxygen necessary for life. This is especially important in a confined space, such as a tightly closed room. Since approximately 17% of oxygen in the air is necessary to support human life, the breathing in of high concentrations of LP Gas may be dangerous.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Because LP Gas is odorless, detection of a leak by smell would be difficult. It is for this reason that a malodorant (odor) has been added to the L-P Gas. Industry practice is to add 1 to 1-1/2 pounds of ethyl mercaptan (the malodorant) to each 10,000 gallons of propane. Ask for a demonstration if you are not familiar with this odor. Should you encounter LP Gas that you feel is not odorizes sufficiently, call it to the attention of your supervisor immediately.</w:t>
            </w:r>
          </w:p>
        </w:tc>
      </w:tr>
      <w:tr>
        <w:trPr>
          <w:trHeight w:val="30" w:hRule="atLeast"/>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spacing w:lineRule="atLeast" w:line="30"/>
              <w:rPr>
                <w:sz w:val="24"/>
                <w:szCs w:val="24"/>
              </w:rPr>
            </w:pPr>
            <w:r>
              <w:rPr>
                <w:rFonts w:cs="Arial"/>
                <w:b/>
                <w:bCs/>
                <w:color w:val="2D19A9"/>
              </w:rPr>
              <w:br/>
              <w:t xml:space="preserve">LP Gas Expands Rapidly (volatile)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 xml:space="preserve">LP Gas is stored in a container as a liquid under pressure. This is an advantage because more fuel can be stored in a smaller space. When the liquefied gas is released from the container, it expands rapidly. In fact, LP Gases expand approximately 270 times when released into the atmosphere. If we released one gallon of liquid into the atmosphere, we would create 270 gallons (by volume) of vapor.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rPr>
                <w:sz w:val="24"/>
                <w:szCs w:val="24"/>
              </w:rPr>
            </w:pPr>
            <w:r>
              <w:rPr/>
              <w:t>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 xml:space="preserve">Remember, even a small amount of liquid released into the atmosphere may present a serious hazard. In fact, releasing liquid LP Gas into the atmosphere is prohibited by all federal and state LP Gas regulations except the amount released through a size 54 drill opening for certain gauging and venting devices.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 xml:space="preserve">Escaping liquid LP Gas absorbs heat in the area and causes severe freeze burns to the skin unless proper protective gloves and/or clothing are worn. </w:t>
            </w:r>
          </w:p>
        </w:tc>
      </w:tr>
      <w:tr>
        <w:trPr>
          <w:trHeight w:val="285" w:hRule="atLeast"/>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rPr>
                <w:sz w:val="24"/>
                <w:szCs w:val="24"/>
              </w:rPr>
            </w:pPr>
            <w:r>
              <w:rPr>
                <w:rFonts w:cs="Arial"/>
                <w:b/>
                <w:bCs/>
                <w:color w:val="2D19A9"/>
              </w:rPr>
              <w:br/>
              <w:t xml:space="preserve">What is Specific Gravity?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t>     </w:t>
            </w:r>
            <w:r>
              <w:rPr>
                <w:rFonts w:cs="Arial"/>
              </w:rPr>
              <w:t>When we speak of "specific gravity", we compare the weight of one product to the weight of another product. Liquid propane is much lighter than water.</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Propane vapors are 1-1/2 times heavier than air. This means propane vapors will tend to Seek a lower level near the point of release when first released into the atmosphere. However, LP Gases disperse into and diffuse with air quite readily. Because of this relatively low specific gravity, the LP Gases are easily affected by slight air currents. They are continually in motion.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In order for any product to burn properly, it is necessary to have a proper air-fuel mixture. The mixture is called the "flammable range". In the case of LP Gases, if the mixture has too much gas, it is too rich and will not burn properly. If there is an overabundance of oxygen (air), the mixture is too lean and will not burn properly. Propane has a flammable range of 2.2 to 9.6. This means that in a 100% air-gas mixture, if gas comprises less than 2.2% of the mixture, it is too lean to burn. On the other hand, if gas comprises more than 9.6% of the mixture, it is too rich and will not burn.</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rPr>
                <w:sz w:val="24"/>
                <w:szCs w:val="24"/>
              </w:rPr>
            </w:pPr>
            <w:r>
              <w:rPr/>
              <w:t>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The ignition temperature of propane is approximately 920'F. If an ignition source is present at the time the air-gas mixture is within the flammable range, the mixture will ignite and burn. Included in these ignition sources are electrical switches, ignition sparks, matches, burning cigarettes, and more.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11355" w:type="dxa"/>
            <w:gridSpan w:val="6"/>
            <w:tcBorders/>
            <w:vAlign w:val="center"/>
          </w:tcPr>
          <w:p>
            <w:pPr>
              <w:pStyle w:val="Normal"/>
              <w:rPr>
                <w:sz w:val="24"/>
                <w:szCs w:val="24"/>
              </w:rPr>
            </w:pPr>
            <w:r>
              <w:rPr>
                <w:rFonts w:cs="Arial"/>
                <w:b/>
                <w:bCs/>
                <w:color w:val="2D19A9"/>
              </w:rPr>
              <w:br/>
              <w:t xml:space="preserve">Temperature/Pressure Relationship </w:t>
            </w:r>
          </w:p>
        </w:tc>
      </w:tr>
      <w:tr>
        <w:trPr>
          <w:trHeight w:val="30" w:hRule="atLeast"/>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spacing w:lineRule="atLeast" w:line="30"/>
              <w:rPr>
                <w:sz w:val="24"/>
                <w:szCs w:val="24"/>
              </w:rPr>
            </w:pPr>
            <w:r>
              <w:rPr/>
              <w:t> </w:t>
            </w:r>
          </w:p>
        </w:tc>
        <w:tc>
          <w:tcPr>
            <w:tcW w:w="5475" w:type="dxa"/>
            <w:gridSpan w:val="3"/>
            <w:tcBorders/>
            <w:vAlign w:val="center"/>
          </w:tcPr>
          <w:p>
            <w:pPr>
              <w:pStyle w:val="Normal"/>
              <w:spacing w:lineRule="atLeast" w:line="30"/>
              <w:rPr>
                <w:sz w:val="24"/>
                <w:szCs w:val="24"/>
              </w:rPr>
            </w:pPr>
            <w:r>
              <w:rPr>
                <w:rFonts w:cs="Arial"/>
              </w:rPr>
              <w:t>     </w:t>
            </w:r>
            <w:r>
              <w:rPr>
                <w:rFonts w:cs="Arial"/>
              </w:rPr>
              <w:t xml:space="preserve">Water boils at 212'F. When the temperature is below 212'F, it turns into steam (or water vapor). If you contain this stream in a closed container, you will have a pressure build-up in the container (like a pressure cooker). </w:t>
            </w:r>
          </w:p>
        </w:tc>
      </w:tr>
      <w:tr>
        <w:trPr/>
        <w:tc>
          <w:tcPr>
            <w:tcW w:w="60" w:type="dxa"/>
            <w:tcBorders/>
            <w:tcMar>
              <w:top w:w="0" w:type="dxa"/>
              <w:start w:w="0" w:type="dxa"/>
              <w:bottom w:w="0" w:type="dxa"/>
              <w:end w:w="0" w:type="dxa"/>
            </w:tcMar>
          </w:tcPr>
          <w:p>
            <w:pPr>
              <w:pStyle w:val="Normal"/>
              <w:rPr>
                <w:sz w:val="24"/>
                <w:szCs w:val="24"/>
              </w:rPr>
            </w:pPr>
            <w:r>
              <w:rPr>
                <w:sz w:val="24"/>
                <w:szCs w:val="24"/>
              </w:rPr>
            </w:r>
          </w:p>
        </w:tc>
        <w:tc>
          <w:tcPr>
            <w:tcW w:w="5880" w:type="dxa"/>
            <w:gridSpan w:val="3"/>
            <w:tcBorders/>
            <w:vAlign w:val="center"/>
          </w:tcPr>
          <w:p>
            <w:pPr>
              <w:pStyle w:val="Normal"/>
              <w:rPr>
                <w:sz w:val="24"/>
                <w:szCs w:val="24"/>
              </w:rPr>
            </w:pPr>
            <w:r>
              <w:rPr/>
              <w:t> </w:t>
            </w:r>
          </w:p>
        </w:tc>
        <w:tc>
          <w:tcPr>
            <w:tcW w:w="5475" w:type="dxa"/>
            <w:gridSpan w:val="3"/>
            <w:tcBorders/>
            <w:vAlign w:val="center"/>
          </w:tcPr>
          <w:p>
            <w:pPr>
              <w:pStyle w:val="Normal"/>
              <w:rPr>
                <w:sz w:val="24"/>
                <w:szCs w:val="24"/>
              </w:rPr>
            </w:pPr>
            <w:r>
              <w:rPr>
                <w:rFonts w:cs="Arial"/>
              </w:rPr>
              <w:br/>
              <w:t xml:space="preserve">      Propane works in a similar fashion. Propane boils at 44'F below zero. If the temperature was colder than 44'F below zero, the propane liquid could be carried around in an open bucket (as you can do with water below 212'F). But when the temperature warms to -44'F, the propane liquid will start to boil and turn into vapor. If this vapor is contained in a closed container, the pressure will build up within the container. As long as the propane temperature remains warmer than -44'F, pressure will be present within the container. The amount of pressure will vary with the temperature of the liquefied propane within the container. As the temperature becomes warmer, the pressure will rise. As the temperature cools down, the pressure will lower. </w:t>
            </w:r>
          </w:p>
        </w:tc>
      </w:tr>
      <w:tr>
        <w:trPr>
          <w:trHeight w:val="1485" w:hRule="atLeast"/>
        </w:trPr>
        <w:tc>
          <w:tcPr>
            <w:tcW w:w="60" w:type="dxa"/>
            <w:tcBorders/>
            <w:tcMar>
              <w:top w:w="0" w:type="dxa"/>
              <w:start w:w="0" w:type="dxa"/>
              <w:bottom w:w="0" w:type="dxa"/>
              <w:end w:w="0" w:type="dxa"/>
            </w:tcMar>
          </w:tcPr>
          <w:p>
            <w:pPr>
              <w:pStyle w:val="Normal"/>
              <w:rPr>
                <w:sz w:val="24"/>
                <w:szCs w:val="24"/>
              </w:rPr>
            </w:pPr>
            <w:r>
              <w:rPr>
                <w:sz w:val="24"/>
                <w:szCs w:val="24"/>
              </w:rPr>
            </w:r>
          </w:p>
        </w:tc>
        <w:tc>
          <w:tcPr>
            <w:tcW w:w="6150" w:type="dxa"/>
            <w:gridSpan w:val="4"/>
            <w:tcBorders/>
            <w:vAlign w:val="center"/>
          </w:tcPr>
          <w:p>
            <w:pPr>
              <w:pStyle w:val="Normal"/>
              <w:snapToGrid w:val="false"/>
              <w:rPr>
                <w:sz w:val="24"/>
                <w:szCs w:val="24"/>
              </w:rPr>
            </w:pPr>
            <w:r>
              <w:rPr>
                <w:sz w:val="24"/>
                <w:szCs w:val="24"/>
              </w:rPr>
            </w:r>
          </w:p>
        </w:tc>
        <w:tc>
          <w:tcPr>
            <w:tcW w:w="5205" w:type="dxa"/>
            <w:gridSpan w:val="2"/>
            <w:tcBorders/>
            <w:tcMar>
              <w:top w:w="0" w:type="dxa"/>
              <w:start w:w="0" w:type="dxa"/>
              <w:bottom w:w="0" w:type="dxa"/>
              <w:end w:w="0" w:type="dxa"/>
            </w:tcMar>
          </w:tcPr>
          <w:p>
            <w:pPr>
              <w:pStyle w:val="Normal"/>
              <w:snapToGrid w:val="false"/>
              <w:rPr>
                <w:sz w:val="24"/>
                <w:szCs w:val="24"/>
              </w:rPr>
            </w:pPr>
            <w:r>
              <w:rPr>
                <w:sz w:val="24"/>
                <w:szCs w:val="24"/>
              </w:rPr>
            </w:r>
          </w:p>
        </w:tc>
      </w:tr>
      <w:tr>
        <w:trPr/>
        <w:tc>
          <w:tcPr>
            <w:tcW w:w="60" w:type="dxa"/>
            <w:tcBorders/>
            <w:tcMar>
              <w:top w:w="0" w:type="dxa"/>
              <w:start w:w="0" w:type="dxa"/>
              <w:bottom w:w="0" w:type="dxa"/>
              <w:end w:w="0" w:type="dxa"/>
            </w:tcMar>
          </w:tcPr>
          <w:p>
            <w:pPr>
              <w:pStyle w:val="TableContents"/>
              <w:rPr/>
            </w:pPr>
            <w:r>
              <w:rPr/>
            </w:r>
          </w:p>
        </w:tc>
        <w:tc>
          <w:tcPr>
            <w:tcW w:w="555" w:type="dxa"/>
            <w:gridSpan w:val="2"/>
            <w:tcBorders/>
            <w:vAlign w:val="center"/>
          </w:tcPr>
          <w:p>
            <w:pPr>
              <w:pStyle w:val="Normal"/>
              <w:snapToGrid w:val="false"/>
              <w:rPr>
                <w:sz w:val="24"/>
                <w:szCs w:val="24"/>
              </w:rPr>
            </w:pPr>
            <w:r>
              <w:rPr>
                <w:sz w:val="24"/>
                <w:szCs w:val="24"/>
              </w:rPr>
            </w:r>
          </w:p>
        </w:tc>
        <w:tc>
          <w:tcPr>
            <w:tcW w:w="5595" w:type="dxa"/>
            <w:gridSpan w:val="2"/>
            <w:tcBorders/>
            <w:vAlign w:val="center"/>
          </w:tcPr>
          <w:p>
            <w:pPr>
              <w:pStyle w:val="Normal"/>
              <w:snapToGrid w:val="false"/>
              <w:rPr>
                <w:sz w:val="24"/>
                <w:szCs w:val="24"/>
              </w:rPr>
            </w:pPr>
            <w:r>
              <w:rPr>
                <w:sz w:val="24"/>
                <w:szCs w:val="24"/>
              </w:rPr>
            </w:r>
          </w:p>
        </w:tc>
        <w:tc>
          <w:tcPr>
            <w:tcW w:w="5205" w:type="dxa"/>
            <w:gridSpan w:val="2"/>
            <w:tcBorders/>
            <w:tcMar>
              <w:top w:w="0" w:type="dxa"/>
              <w:start w:w="0" w:type="dxa"/>
              <w:bottom w:w="0" w:type="dxa"/>
              <w:end w:w="0" w:type="dxa"/>
            </w:tcMar>
          </w:tcPr>
          <w:p>
            <w:pPr>
              <w:pStyle w:val="Normal"/>
              <w:snapToGrid w:val="false"/>
              <w:rPr>
                <w:sz w:val="24"/>
                <w:szCs w:val="24"/>
              </w:rPr>
            </w:pPr>
            <w:r>
              <w:rPr>
                <w:sz w:val="24"/>
                <w:szCs w:val="24"/>
              </w:rPr>
            </w:r>
          </w:p>
        </w:tc>
      </w:tr>
      <w:tr>
        <w:trPr/>
        <w:tc>
          <w:tcPr>
            <w:tcW w:w="60" w:type="dxa"/>
            <w:tcBorders/>
            <w:tcMar>
              <w:top w:w="0" w:type="dxa"/>
              <w:start w:w="0" w:type="dxa"/>
              <w:bottom w:w="0" w:type="dxa"/>
              <w:end w:w="0" w:type="dxa"/>
            </w:tcMar>
          </w:tcPr>
          <w:p>
            <w:pPr>
              <w:pStyle w:val="TableContents"/>
              <w:rPr/>
            </w:pPr>
            <w:r>
              <w:rPr/>
            </w:r>
          </w:p>
        </w:tc>
        <w:tc>
          <w:tcPr>
            <w:tcW w:w="555" w:type="dxa"/>
            <w:gridSpan w:val="2"/>
            <w:tcBorders/>
            <w:vAlign w:val="center"/>
          </w:tcPr>
          <w:p>
            <w:pPr>
              <w:pStyle w:val="Normal"/>
              <w:snapToGrid w:val="false"/>
              <w:rPr>
                <w:sz w:val="24"/>
                <w:szCs w:val="24"/>
              </w:rPr>
            </w:pPr>
            <w:r>
              <w:rPr>
                <w:sz w:val="24"/>
                <w:szCs w:val="24"/>
              </w:rPr>
            </w:r>
          </w:p>
        </w:tc>
        <w:tc>
          <w:tcPr>
            <w:tcW w:w="5595" w:type="dxa"/>
            <w:gridSpan w:val="2"/>
            <w:tcBorders/>
            <w:vAlign w:val="center"/>
          </w:tcPr>
          <w:p>
            <w:pPr>
              <w:pStyle w:val="Normal"/>
              <w:snapToGrid w:val="false"/>
              <w:rPr>
                <w:sz w:val="24"/>
                <w:szCs w:val="24"/>
              </w:rPr>
            </w:pPr>
            <w:r>
              <w:rPr>
                <w:sz w:val="24"/>
                <w:szCs w:val="24"/>
              </w:rPr>
            </w:r>
          </w:p>
        </w:tc>
        <w:tc>
          <w:tcPr>
            <w:tcW w:w="5205" w:type="dxa"/>
            <w:gridSpan w:val="2"/>
            <w:tcBorders/>
            <w:tcMar>
              <w:top w:w="0" w:type="dxa"/>
              <w:start w:w="0" w:type="dxa"/>
              <w:bottom w:w="0" w:type="dxa"/>
              <w:end w:w="0" w:type="dxa"/>
            </w:tcMar>
          </w:tcPr>
          <w:p>
            <w:pPr>
              <w:pStyle w:val="Normal"/>
              <w:snapToGrid w:val="false"/>
              <w:rPr>
                <w:sz w:val="24"/>
                <w:szCs w:val="24"/>
              </w:rPr>
            </w:pPr>
            <w:r>
              <w:rPr>
                <w:sz w:val="24"/>
                <w:szCs w:val="24"/>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color w:val="3366FF"/>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2002-01-16T14:31:00Z</dcterms:created>
  <dc:creator>cjw</dc:creator>
  <dc:description/>
  <dc:language>en-CA</dc:language>
  <cp:lastModifiedBy>cjw</cp:lastModifiedBy>
  <dcterms:modified xsi:type="dcterms:W3CDTF">2002-01-16T20:59:00Z</dcterms:modified>
  <cp:revision>4</cp:revision>
  <dc:subject/>
  <dc:title>Liquefied petroleum gas (LP Gas) is a refined natural gas developed for use beyond the gas mains</dc:title>
</cp:coreProperties>
</file>