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2057400" cy="678815"/>
            <wp:effectExtent l="0" t="0" r="0" b="0"/>
            <wp:wrapTight wrapText="bothSides">
              <wp:wrapPolygon edited="0">
                <wp:start x="-225" y="0"/>
                <wp:lineTo x="-225" y="20915"/>
                <wp:lineTo x="21600" y="20915"/>
                <wp:lineTo x="21600" y="0"/>
                <wp:lineTo x="-225" y="0"/>
              </wp:wrapPolygon>
            </wp:wrapTight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119" r="-39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firstLine="720" w:start="540" w:end="0"/>
        <w:rPr/>
      </w:pPr>
      <w:r>
        <w:rPr/>
        <w:t>Electric Power Conference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NGI Chair:  Kevin Hyatt, Director Asset Development, Enron Transportation Services</w:t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2"/>
        </w:numPr>
        <w:ind w:hanging="0" w:start="0"/>
        <w:rPr/>
      </w:pPr>
      <w:r>
        <w:rPr/>
        <w:t>Overview of the Gas Fueled Power Industry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</w:tabs>
        <w:rPr/>
      </w:pPr>
      <w:r>
        <w:rPr/>
        <w:t>Since 1990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</w:tabs>
        <w:rPr/>
      </w:pPr>
      <w:r>
        <w:rPr/>
        <w:t>New gas-fired generation on-line since 1995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</w:tabs>
        <w:rPr/>
      </w:pPr>
      <w:r>
        <w:rPr/>
        <w:t>Queue for gas turbines</w:t>
      </w:r>
    </w:p>
    <w:p>
      <w:pPr>
        <w:pStyle w:val="Normal"/>
        <w:tabs>
          <w:tab w:val="clear" w:pos="720"/>
          <w:tab w:val="left" w:pos="5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</w:r>
      <w:r>
        <w:rPr>
          <w:b/>
          <w:bCs/>
        </w:rPr>
        <w:tab/>
        <w:t xml:space="preserve">Suggested Speakers:  </w:t>
      </w:r>
      <w:r>
        <w:rPr/>
        <w:tab/>
        <w:tab/>
        <w:tab/>
        <w:tab/>
        <w:tab/>
        <w:tab/>
        <w:t>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  <w:t>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  <w:t>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  <w:t>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</w:r>
    </w:p>
    <w:p>
      <w:pPr>
        <w:pStyle w:val="Heading2"/>
        <w:numPr>
          <w:ilvl w:val="0"/>
          <w:numId w:val="2"/>
        </w:numPr>
        <w:ind w:hanging="0" w:start="0"/>
        <w:rPr/>
      </w:pPr>
      <w:r>
        <w:rPr/>
        <w:t>Pipelines, Storage, &amp; LNG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New supply sources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De-bottlenecking existing infrastructure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Importance of storage vs. reliance on pipeline connectivity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LNG – a new role in North American supply?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ab/>
        <w:tab/>
        <w:tab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ab/>
        <w:tab/>
        <w:tab/>
        <w:tab/>
        <w:t>Speakers:</w:t>
        <w:tab/>
        <w:t>1)  Stephen C. Harris – VP (LNG development)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ab/>
        <w:tab/>
        <w:tab/>
        <w:tab/>
        <w:tab/>
        <w:tab/>
        <w:tab/>
        <w:t>El Paso Merchant Energy 713-420-4691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Jack Coons – VP Business Development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ind w:start="3600" w:end="0"/>
        <w:rPr/>
      </w:pPr>
      <w:r>
        <w:rPr/>
        <w:tab/>
        <w:t>Bateman Engineering 303-987-6214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Tom Toerner – Manager, West Gas Trading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ind w:start="4320" w:end="0"/>
        <w:rPr/>
      </w:pPr>
      <w:r>
        <w:rPr/>
        <w:t>Reliant Energy 713-207-1450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Heading2"/>
        <w:numPr>
          <w:ilvl w:val="0"/>
          <w:numId w:val="2"/>
        </w:numPr>
        <w:ind w:hanging="0" w:start="0"/>
        <w:rPr/>
      </w:pPr>
      <w:r>
        <w:rPr/>
        <w:t>Power Plant Fuel Delivery Issues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Changing quality specs – today’s turbines are much more sensitive to gas quality issues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Pressure reliability – impact to gen units with varying fuel pressures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Transportation scheduling – firm vs. interruptible vs. other transport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Fuel contract issues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ab/>
        <w:tab/>
        <w:tab/>
        <w:tab/>
        <w:t>Speakers</w:t>
        <w:tab/>
        <w:t>1)  Lisa Norwood – Manager Fuels Acquisitions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ab/>
        <w:tab/>
        <w:tab/>
        <w:tab/>
        <w:tab/>
        <w:tab/>
        <w:tab/>
        <w:t>Calpine 713-830-8632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Jose R. Dumenigo – Regional General Manager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ind w:start="4320" w:end="0"/>
        <w:rPr/>
      </w:pPr>
      <w:r>
        <w:rPr/>
        <w:t>GE Power Systems  713-803-0473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Lee Johnson – General Manager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ind w:start="3600" w:end="0"/>
        <w:rPr/>
      </w:pPr>
      <w:r>
        <w:rPr/>
        <w:tab/>
        <w:t>S&amp;S Energy Products (GE)  713-803-0952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Heading2"/>
        <w:numPr>
          <w:ilvl w:val="0"/>
          <w:numId w:val="2"/>
        </w:numPr>
        <w:ind w:hanging="0" w:start="0"/>
        <w:rPr/>
      </w:pPr>
      <w:r>
        <w:rPr/>
        <w:t>Fuel Energy Management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To outsource or not outsource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Evaluating potential outsource providers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</w:r>
      <w:r>
        <w:rPr>
          <w:b/>
          <w:bCs/>
        </w:rPr>
        <w:tab/>
        <w:t xml:space="preserve">Suggested Speakers:  </w:t>
      </w:r>
      <w:r>
        <w:rPr/>
        <w:tab/>
        <w:tab/>
        <w:tab/>
        <w:tab/>
        <w:tab/>
        <w:tab/>
        <w:t>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  <w:t>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ind w:start="360" w:end="0"/>
        <w:rPr/>
      </w:pPr>
      <w:r>
        <w:rPr/>
        <w:tab/>
        <w:t>_____________________________________________________________</w:t>
      </w:r>
    </w:p>
    <w:sectPr>
      <w:type w:val="nextPage"/>
      <w:pgSz w:w="12240" w:h="15840"/>
      <w:pgMar w:left="1800" w:right="180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260"/>
        </w:tabs>
        <w:ind w:start="126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620"/>
        </w:tabs>
        <w:ind w:start="1620" w:hanging="360"/>
      </w:pPr>
    </w:lvl>
    <w:lvl w:ilvl="2">
      <w:start w:val="1"/>
      <w:numFmt w:val="lowerRoman"/>
      <w:lvlText w:val="%3."/>
      <w:lvlJc w:val="end"/>
      <w:pPr>
        <w:tabs>
          <w:tab w:val="num" w:pos="2340"/>
        </w:tabs>
        <w:ind w:start="2340" w:hanging="180"/>
      </w:pPr>
    </w:lvl>
    <w:lvl w:ilvl="3">
      <w:start w:val="1"/>
      <w:numFmt w:val="decimal"/>
      <w:lvlText w:val="%4."/>
      <w:lvlJc w:val="start"/>
      <w:pPr>
        <w:tabs>
          <w:tab w:val="num" w:pos="3060"/>
        </w:tabs>
        <w:ind w:start="3060" w:hanging="360"/>
      </w:pPr>
    </w:lvl>
    <w:lvl w:ilvl="4">
      <w:start w:val="1"/>
      <w:numFmt w:val="lowerLetter"/>
      <w:lvlText w:val="%5."/>
      <w:lvlJc w:val="start"/>
      <w:pPr>
        <w:tabs>
          <w:tab w:val="num" w:pos="3780"/>
        </w:tabs>
        <w:ind w:start="3780" w:hanging="360"/>
      </w:pPr>
    </w:lvl>
    <w:lvl w:ilvl="5">
      <w:start w:val="1"/>
      <w:numFmt w:val="lowerRoman"/>
      <w:lvlText w:val="%6."/>
      <w:lvlJc w:val="end"/>
      <w:pPr>
        <w:tabs>
          <w:tab w:val="num" w:pos="4500"/>
        </w:tabs>
        <w:ind w:start="4500" w:hanging="180"/>
      </w:pPr>
    </w:lvl>
    <w:lvl w:ilvl="6">
      <w:start w:val="1"/>
      <w:numFmt w:val="decimal"/>
      <w:lvlText w:val="%7."/>
      <w:lvlJc w:val="start"/>
      <w:pPr>
        <w:tabs>
          <w:tab w:val="num" w:pos="5220"/>
        </w:tabs>
        <w:ind w:start="5220" w:hanging="360"/>
      </w:pPr>
    </w:lvl>
    <w:lvl w:ilvl="7">
      <w:start w:val="1"/>
      <w:numFmt w:val="lowerLetter"/>
      <w:lvlText w:val="%8."/>
      <w:lvlJc w:val="start"/>
      <w:pPr>
        <w:tabs>
          <w:tab w:val="num" w:pos="5940"/>
        </w:tabs>
        <w:ind w:start="5940" w:hanging="360"/>
      </w:pPr>
    </w:lvl>
    <w:lvl w:ilvl="8">
      <w:start w:val="1"/>
      <w:numFmt w:val="lowerRoman"/>
      <w:lvlText w:val="%9."/>
      <w:lvlJc w:val="end"/>
      <w:pPr>
        <w:tabs>
          <w:tab w:val="num" w:pos="6660"/>
        </w:tabs>
        <w:ind w:start="6660" w:hanging="180"/>
      </w:pPr>
    </w:lvl>
  </w:abstractNum>
  <w:abstractNum w:abstractNumId="3">
    <w:lvl w:ilvl="0">
      <w:start w:val="2"/>
      <w:numFmt w:val="decimal"/>
      <w:lvlText w:val="%1)"/>
      <w:lvlJc w:val="start"/>
      <w:pPr>
        <w:tabs>
          <w:tab w:val="num" w:pos="3960"/>
        </w:tabs>
        <w:ind w:start="3960" w:hanging="360"/>
      </w:pPr>
      <w:rPr/>
    </w:lvl>
  </w:abstractNum>
  <w:abstractNum w:abstractNumId="4">
    <w:lvl w:ilvl="0">
      <w:start w:val="2"/>
      <w:numFmt w:val="decimal"/>
      <w:lvlText w:val="%1)"/>
      <w:lvlJc w:val="start"/>
      <w:pPr>
        <w:tabs>
          <w:tab w:val="num" w:pos="3960"/>
        </w:tabs>
        <w:ind w:start="39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540" w:leader="none"/>
        <w:tab w:val="left" w:pos="900" w:leader="none"/>
      </w:tabs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2001-07-24T11:40:00Z</dcterms:created>
  <dc:creator>khyatt</dc:creator>
  <dc:description/>
  <dc:language>en-CA</dc:language>
  <cp:lastModifiedBy>Work Station</cp:lastModifiedBy>
  <cp:lastPrinted>2001-08-14T13:53:00Z</cp:lastPrinted>
  <dcterms:modified xsi:type="dcterms:W3CDTF">2001-08-24T16:32:00Z</dcterms:modified>
  <cp:revision>8</cp:revision>
  <dc:subject/>
  <dc:title>Electric Power Conference 2002</dc:title>
</cp:coreProperties>
</file>