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August 23, 2001</w:t>
      </w:r>
    </w:p>
    <w:p>
      <w:pPr>
        <w:pStyle w:val="Normal"/>
        <w:rPr>
          <w:b/>
          <w:bCs/>
        </w:rPr>
      </w:pPr>
      <w:r>
        <w:rPr>
          <w:b/>
          <w:bCs/>
        </w:rPr>
      </w:r>
    </w:p>
    <w:p>
      <w:pPr>
        <w:pStyle w:val="Heading1"/>
        <w:ind w:hanging="0" w:start="0"/>
        <w:rPr/>
      </w:pPr>
      <w:r>
        <w:rPr/>
        <w:t>Summary of Requests for Rehearing in Northeastern RTO proceedings</w:t>
      </w:r>
    </w:p>
    <w:p>
      <w:pPr>
        <w:pStyle w:val="Normal"/>
        <w:rPr/>
      </w:pPr>
      <w:r>
        <w:rPr/>
      </w:r>
    </w:p>
    <w:p>
      <w:pPr>
        <w:pStyle w:val="Normal"/>
        <w:rPr>
          <w:b/>
          <w:bCs/>
          <w:u w:val="single"/>
        </w:rPr>
      </w:pPr>
      <w:r>
        <w:rPr>
          <w:b/>
          <w:bCs/>
          <w:u w:val="single"/>
        </w:rPr>
        <w:t>PJM (RT01-2)</w:t>
      </w:r>
    </w:p>
    <w:p>
      <w:pPr>
        <w:pStyle w:val="Normal"/>
        <w:rPr>
          <w:b/>
          <w:bCs/>
          <w:u w:val="single"/>
        </w:rPr>
      </w:pPr>
      <w:r>
        <w:rPr>
          <w:b/>
          <w:bCs/>
          <w:u w:val="single"/>
        </w:rPr>
      </w:r>
    </w:p>
    <w:p>
      <w:pPr>
        <w:pStyle w:val="Normal"/>
        <w:rPr>
          <w:b/>
          <w:bCs/>
        </w:rPr>
      </w:pPr>
      <w:r>
        <w:rPr>
          <w:b/>
          <w:bCs/>
        </w:rPr>
        <w:t xml:space="preserve">PJM Transmission Owners </w:t>
      </w:r>
    </w:p>
    <w:p>
      <w:pPr>
        <w:pStyle w:val="Normal"/>
        <w:rPr/>
      </w:pPr>
      <w:r>
        <w:rPr/>
      </w:r>
    </w:p>
    <w:p>
      <w:pPr>
        <w:pStyle w:val="Normal"/>
        <w:rPr/>
      </w:pPr>
      <w:r>
        <w:rPr/>
        <w:tab/>
        <w:t>The PJM Transmission Owners do not oppose the mediation procedures aimed at forming a Northeast RTO.   However, they do claim that FERC erred by:</w:t>
      </w:r>
    </w:p>
    <w:p>
      <w:pPr>
        <w:pStyle w:val="Normal"/>
        <w:rPr/>
      </w:pPr>
      <w:r>
        <w:rPr/>
      </w:r>
    </w:p>
    <w:p>
      <w:pPr>
        <w:pStyle w:val="Normal"/>
        <w:numPr>
          <w:ilvl w:val="0"/>
          <w:numId w:val="2"/>
        </w:numPr>
        <w:rPr/>
      </w:pPr>
      <w:r>
        <w:rPr/>
        <w:t>eliminating the role of the PJM Transmission Owners from the generator interconnection process</w:t>
      </w:r>
    </w:p>
    <w:p>
      <w:pPr>
        <w:pStyle w:val="Normal"/>
        <w:numPr>
          <w:ilvl w:val="0"/>
          <w:numId w:val="2"/>
        </w:numPr>
        <w:rPr/>
      </w:pPr>
      <w:r>
        <w:rPr/>
        <w:t>rejecting the transmission enhancement plan (TEP) developed by the PJM Transmission Owners and endorsed by PJM</w:t>
      </w:r>
    </w:p>
    <w:p>
      <w:pPr>
        <w:pStyle w:val="Normal"/>
        <w:numPr>
          <w:ilvl w:val="0"/>
          <w:numId w:val="2"/>
        </w:numPr>
        <w:rPr/>
      </w:pPr>
      <w:r>
        <w:rPr/>
        <w:t>not following procedures required by FPA Section 206</w:t>
      </w:r>
    </w:p>
    <w:p>
      <w:pPr>
        <w:pStyle w:val="Normal"/>
        <w:numPr>
          <w:ilvl w:val="0"/>
          <w:numId w:val="2"/>
        </w:numPr>
        <w:rPr/>
      </w:pPr>
      <w:r>
        <w:rPr/>
        <w:t>expanding the scope of RTO planning to encompass economic-based expansion projects without making clear that the sponsors of such projects retain cost responsibility for them</w:t>
      </w:r>
    </w:p>
    <w:p>
      <w:pPr>
        <w:pStyle w:val="Normal"/>
        <w:rPr/>
      </w:pPr>
      <w:r>
        <w:rPr/>
      </w:r>
    </w:p>
    <w:p>
      <w:pPr>
        <w:pStyle w:val="Normal"/>
        <w:rPr>
          <w:b/>
          <w:bCs/>
        </w:rPr>
      </w:pPr>
      <w:r>
        <w:rPr>
          <w:b/>
          <w:bCs/>
        </w:rPr>
        <w:t xml:space="preserve">PPL Electric Utilities Corporation  </w:t>
      </w:r>
    </w:p>
    <w:p>
      <w:pPr>
        <w:pStyle w:val="Normal"/>
        <w:rPr/>
      </w:pPr>
      <w:r>
        <w:rPr/>
      </w:r>
    </w:p>
    <w:p>
      <w:pPr>
        <w:pStyle w:val="Normal"/>
        <w:rPr/>
      </w:pPr>
      <w:r>
        <w:rPr/>
        <w:tab/>
        <w:t>Like PJM Transmission Owners, claims FERC erred by:</w:t>
      </w:r>
    </w:p>
    <w:p>
      <w:pPr>
        <w:pStyle w:val="Normal"/>
        <w:rPr/>
      </w:pPr>
      <w:r>
        <w:rPr/>
      </w:r>
    </w:p>
    <w:p>
      <w:pPr>
        <w:pStyle w:val="Normal"/>
        <w:numPr>
          <w:ilvl w:val="0"/>
          <w:numId w:val="2"/>
        </w:numPr>
        <w:rPr/>
      </w:pPr>
      <w:r>
        <w:rPr/>
        <w:t>eliminating the role of the PJM Transmission Owners in the generator interconnection process</w:t>
      </w:r>
    </w:p>
    <w:p>
      <w:pPr>
        <w:pStyle w:val="Normal"/>
        <w:numPr>
          <w:ilvl w:val="0"/>
          <w:numId w:val="2"/>
        </w:numPr>
        <w:rPr/>
      </w:pPr>
      <w:r>
        <w:rPr/>
        <w:t>rejecting the TEP and innovative rate proposal developed by the PJM Transmission Owners and endorsed by PJM</w:t>
      </w:r>
    </w:p>
    <w:p>
      <w:pPr>
        <w:pStyle w:val="Normal"/>
        <w:numPr>
          <w:ilvl w:val="0"/>
          <w:numId w:val="2"/>
        </w:numPr>
        <w:rPr/>
      </w:pPr>
      <w:r>
        <w:rPr/>
        <w:t>expanding the scope of RTO planning to encompass economic-based expansion projects without making clear that the sponsors of such projects retain cost responsibility for them</w:t>
      </w:r>
    </w:p>
    <w:p>
      <w:pPr>
        <w:pStyle w:val="Normal"/>
        <w:rPr/>
      </w:pPr>
      <w:r>
        <w:rPr/>
      </w:r>
    </w:p>
    <w:p>
      <w:pPr>
        <w:pStyle w:val="Normal"/>
        <w:rPr/>
      </w:pPr>
      <w:r>
        <w:rPr>
          <w:b/>
          <w:bCs/>
        </w:rPr>
        <w:t>Maryland Public Service Commission, District of Columbia Public Service Commission and Virginia State Corporation Commission</w:t>
      </w:r>
      <w:r>
        <w:rPr/>
        <w:t xml:space="preserve"> (also request rehearing of order in RT01-99)</w:t>
      </w:r>
    </w:p>
    <w:p>
      <w:pPr>
        <w:pStyle w:val="Normal"/>
        <w:rPr/>
      </w:pPr>
      <w:r>
        <w:rPr/>
      </w:r>
    </w:p>
    <w:p>
      <w:pPr>
        <w:pStyle w:val="Normal"/>
        <w:rPr/>
      </w:pPr>
      <w:r>
        <w:rPr/>
        <w:tab/>
        <w:t>Claim FERC erred by:</w:t>
      </w:r>
    </w:p>
    <w:p>
      <w:pPr>
        <w:pStyle w:val="Normal"/>
        <w:rPr/>
      </w:pPr>
      <w:r>
        <w:rPr/>
      </w:r>
    </w:p>
    <w:p>
      <w:pPr>
        <w:pStyle w:val="Normal"/>
        <w:numPr>
          <w:ilvl w:val="0"/>
          <w:numId w:val="2"/>
        </w:numPr>
        <w:rPr/>
      </w:pPr>
      <w:r>
        <w:rPr/>
        <w:t>not initiating a notice and comment period prior to ordering a single Northeastern RTO</w:t>
      </w:r>
    </w:p>
    <w:p>
      <w:pPr>
        <w:pStyle w:val="Normal"/>
        <w:numPr>
          <w:ilvl w:val="0"/>
          <w:numId w:val="2"/>
        </w:numPr>
        <w:rPr/>
      </w:pPr>
      <w:r>
        <w:rPr/>
        <w:t>failing to address whether it has jurisdiction to require formation of RTOs</w:t>
      </w:r>
    </w:p>
    <w:p>
      <w:pPr>
        <w:pStyle w:val="Normal"/>
        <w:numPr>
          <w:ilvl w:val="0"/>
          <w:numId w:val="2"/>
        </w:numPr>
        <w:rPr/>
      </w:pPr>
      <w:r>
        <w:rPr/>
        <w:t>establishing a “super-RTO” without creating a defined role for the State commissions</w:t>
      </w:r>
    </w:p>
    <w:p>
      <w:pPr>
        <w:pStyle w:val="Normal"/>
        <w:rPr/>
      </w:pPr>
      <w:r>
        <w:rPr/>
      </w:r>
    </w:p>
    <w:p>
      <w:pPr>
        <w:pStyle w:val="BodyTextIndent"/>
        <w:rPr/>
      </w:pPr>
      <w:r>
        <w:rPr/>
        <w:t>These parties also moved for a stay of the mediation proceedings, claiming the Commission had exceeded its authority in the July 12 orders, and that without a stay the parties would suffer irreparable harm.  EPMI made a filing opposing the motion.</w:t>
      </w:r>
    </w:p>
    <w:p>
      <w:pPr>
        <w:pStyle w:val="Normal"/>
        <w:rPr/>
      </w:pPr>
      <w:r>
        <w:rPr/>
      </w:r>
    </w:p>
    <w:p>
      <w:pPr>
        <w:pStyle w:val="Normal"/>
        <w:rPr/>
      </w:pPr>
      <w:r>
        <w:rPr>
          <w:b/>
          <w:bCs/>
        </w:rPr>
        <w:t>FirstEnergy Corp.</w:t>
      </w:r>
      <w:r>
        <w:rPr/>
        <w:t xml:space="preserve">  (also requests rehearing of order in RT01-98)</w:t>
      </w:r>
    </w:p>
    <w:p>
      <w:pPr>
        <w:pStyle w:val="Normal"/>
        <w:rPr/>
      </w:pPr>
      <w:r>
        <w:rPr/>
      </w:r>
    </w:p>
    <w:p>
      <w:pPr>
        <w:pStyle w:val="Normal"/>
        <w:rPr/>
      </w:pPr>
      <w:r>
        <w:rPr/>
        <w:tab/>
        <w:t>Claims FERC erred by:</w:t>
      </w:r>
    </w:p>
    <w:p>
      <w:pPr>
        <w:pStyle w:val="Normal"/>
        <w:rPr/>
      </w:pPr>
      <w:r>
        <w:rPr/>
      </w:r>
    </w:p>
    <w:p>
      <w:pPr>
        <w:pStyle w:val="Normal"/>
        <w:numPr>
          <w:ilvl w:val="0"/>
          <w:numId w:val="2"/>
        </w:numPr>
        <w:rPr/>
      </w:pPr>
      <w:r>
        <w:rPr/>
        <w:t>failing to address the treatment of Capacity Benefit Margin (CBM) for the expanded PJM Virtual Control Area</w:t>
      </w:r>
    </w:p>
    <w:p>
      <w:pPr>
        <w:pStyle w:val="Normal"/>
        <w:numPr>
          <w:ilvl w:val="0"/>
          <w:numId w:val="2"/>
        </w:numPr>
        <w:rPr/>
      </w:pPr>
      <w:r>
        <w:rPr/>
        <w:t>filing to prohibit PJM and PJM-West from effectuating reductions to existing ATC at the interface between FirstEnergy and Allegheny as a result of PJM’s application of its CBM rules to Allegheny</w:t>
      </w:r>
    </w:p>
    <w:p>
      <w:pPr>
        <w:pStyle w:val="Normal"/>
        <w:numPr>
          <w:ilvl w:val="0"/>
          <w:numId w:val="2"/>
        </w:numPr>
        <w:rPr/>
      </w:pPr>
      <w:r>
        <w:rPr/>
        <w:t>permitting PJM to exercise undue discretion in creating and enforcing rules that require the reservation of unsupported and excessive amounts of transmission capacity for the purpose of securing generation reliability</w:t>
      </w:r>
    </w:p>
    <w:p>
      <w:pPr>
        <w:pStyle w:val="Normal"/>
        <w:rPr/>
      </w:pPr>
      <w:r>
        <w:rPr/>
      </w:r>
    </w:p>
    <w:p>
      <w:pPr>
        <w:pStyle w:val="Normal"/>
        <w:rPr>
          <w:b/>
          <w:bCs/>
        </w:rPr>
      </w:pPr>
      <w:r>
        <w:rPr>
          <w:b/>
          <w:bCs/>
        </w:rPr>
        <w:t xml:space="preserve">Mid-Atlantic Power Supply Association </w:t>
      </w:r>
    </w:p>
    <w:p>
      <w:pPr>
        <w:pStyle w:val="Normal"/>
        <w:rPr/>
      </w:pPr>
      <w:r>
        <w:rPr/>
      </w:r>
    </w:p>
    <w:p>
      <w:pPr>
        <w:pStyle w:val="Normal"/>
        <w:rPr/>
      </w:pPr>
      <w:r>
        <w:rPr/>
        <w:tab/>
        <w:t>Claims FERC erred by:</w:t>
      </w:r>
    </w:p>
    <w:p>
      <w:pPr>
        <w:pStyle w:val="Normal"/>
        <w:rPr/>
      </w:pPr>
      <w:r>
        <w:rPr/>
      </w:r>
    </w:p>
    <w:p>
      <w:pPr>
        <w:pStyle w:val="Normal"/>
        <w:numPr>
          <w:ilvl w:val="0"/>
          <w:numId w:val="2"/>
        </w:numPr>
        <w:rPr/>
      </w:pPr>
      <w:r>
        <w:rPr/>
        <w:t>failing to require the resolution of issues associated with the ICAP requirement</w:t>
      </w:r>
    </w:p>
    <w:p>
      <w:pPr>
        <w:pStyle w:val="Normal"/>
        <w:numPr>
          <w:ilvl w:val="0"/>
          <w:numId w:val="2"/>
        </w:numPr>
        <w:rPr/>
      </w:pPr>
      <w:r>
        <w:rPr/>
        <w:t>disregarding mandate of U.S. Court of Appeals, 1</w:t>
      </w:r>
      <w:r>
        <w:rPr>
          <w:vertAlign w:val="superscript"/>
        </w:rPr>
        <w:t>st</w:t>
      </w:r>
      <w:r>
        <w:rPr/>
        <w:t xml:space="preserve"> Cir., to explain the reinstatement of the New England ICAP requirement</w:t>
      </w:r>
    </w:p>
    <w:p>
      <w:pPr>
        <w:pStyle w:val="Normal"/>
        <w:rPr/>
      </w:pPr>
      <w:r>
        <w:rPr/>
      </w:r>
    </w:p>
    <w:p>
      <w:pPr>
        <w:pStyle w:val="Heading1"/>
        <w:ind w:hanging="0" w:start="0"/>
        <w:rPr/>
      </w:pPr>
      <w:r>
        <w:rPr/>
        <w:t xml:space="preserve">Delaware Public Service Commission  </w:t>
      </w:r>
      <w:r>
        <w:rPr>
          <w:b w:val="false"/>
          <w:bCs w:val="false"/>
        </w:rPr>
        <w:t>(also requests rehearing of RT01-99)</w:t>
      </w:r>
    </w:p>
    <w:p>
      <w:pPr>
        <w:pStyle w:val="Normal"/>
        <w:rPr>
          <w:b/>
          <w:bCs/>
        </w:rPr>
      </w:pPr>
      <w:r>
        <w:rPr>
          <w:b/>
          <w:bCs/>
        </w:rPr>
      </w:r>
    </w:p>
    <w:p>
      <w:pPr>
        <w:pStyle w:val="Normal"/>
        <w:numPr>
          <w:ilvl w:val="0"/>
          <w:numId w:val="2"/>
        </w:numPr>
        <w:rPr/>
      </w:pPr>
      <w:r>
        <w:rPr/>
        <w:t>FERC lacks jurisdiction to mandate a single Northeastern RTO</w:t>
      </w:r>
    </w:p>
    <w:p>
      <w:pPr>
        <w:pStyle w:val="Normal"/>
        <w:numPr>
          <w:ilvl w:val="0"/>
          <w:numId w:val="2"/>
        </w:numPr>
        <w:rPr/>
      </w:pPr>
      <w:r>
        <w:rPr/>
        <w:t>FERC’s departure from Order No. 2000 is unlawful because there was no notice and comment period</w:t>
      </w:r>
    </w:p>
    <w:p>
      <w:pPr>
        <w:pStyle w:val="Normal"/>
        <w:numPr>
          <w:ilvl w:val="0"/>
          <w:numId w:val="2"/>
        </w:numPr>
        <w:rPr/>
      </w:pPr>
      <w:r>
        <w:rPr/>
        <w:t>FERC should provide guidance in furtherance of resolution of seams issues and the formation of efficient markets</w:t>
      </w:r>
    </w:p>
    <w:p>
      <w:pPr>
        <w:pStyle w:val="Normal"/>
        <w:numPr>
          <w:ilvl w:val="0"/>
          <w:numId w:val="2"/>
        </w:numPr>
        <w:rPr/>
      </w:pPr>
      <w:r>
        <w:rPr/>
        <w:t>FERC should reject the innovative rate proposal of PJM and its transmission owners</w:t>
      </w:r>
    </w:p>
    <w:p>
      <w:pPr>
        <w:pStyle w:val="Normal"/>
        <w:numPr>
          <w:ilvl w:val="0"/>
          <w:numId w:val="2"/>
        </w:numPr>
        <w:rPr/>
      </w:pPr>
      <w:r>
        <w:rPr/>
        <w:t>Role of State commissions must be enlarged in order to protect retail ratepayers</w:t>
      </w:r>
    </w:p>
    <w:p>
      <w:pPr>
        <w:pStyle w:val="Normal"/>
        <w:rPr/>
      </w:pPr>
      <w:r>
        <w:rPr/>
      </w:r>
      <w:r>
        <w:br w:type="page"/>
      </w:r>
    </w:p>
    <w:p>
      <w:pPr>
        <w:pStyle w:val="Normal"/>
        <w:rPr/>
      </w:pPr>
      <w:r>
        <w:rPr/>
      </w:r>
    </w:p>
    <w:p>
      <w:pPr>
        <w:pStyle w:val="Normal"/>
        <w:rPr>
          <w:b/>
          <w:bCs/>
          <w:u w:val="single"/>
        </w:rPr>
      </w:pPr>
      <w:r>
        <w:rPr>
          <w:b/>
          <w:bCs/>
          <w:u w:val="single"/>
        </w:rPr>
        <w:t>New England (RT01-86; RT01-94)</w:t>
      </w:r>
    </w:p>
    <w:p>
      <w:pPr>
        <w:pStyle w:val="Normal"/>
        <w:rPr/>
      </w:pPr>
      <w:r>
        <w:rPr/>
      </w:r>
    </w:p>
    <w:p>
      <w:pPr>
        <w:pStyle w:val="Normal"/>
        <w:rPr>
          <w:b/>
          <w:bCs/>
        </w:rPr>
      </w:pPr>
      <w:r>
        <w:rPr>
          <w:b/>
          <w:bCs/>
        </w:rPr>
        <w:t>Industrial Energy Consumer Group, et al.</w:t>
      </w:r>
    </w:p>
    <w:p>
      <w:pPr>
        <w:pStyle w:val="Normal"/>
        <w:rPr/>
      </w:pPr>
      <w:r>
        <w:rPr/>
      </w:r>
    </w:p>
    <w:p>
      <w:pPr>
        <w:pStyle w:val="BodyText"/>
        <w:rPr/>
      </w:pPr>
      <w:r>
        <w:rPr/>
        <w:tab/>
        <w:t>Request rehearing of the Commission’s findings on governance and the involuntary, accelerated combination of New England, New York and PJM control areas into one RTO.</w:t>
      </w:r>
    </w:p>
    <w:p>
      <w:pPr>
        <w:pStyle w:val="Normal"/>
        <w:jc w:val="both"/>
        <w:rPr/>
      </w:pPr>
      <w:r>
        <w:rPr/>
      </w:r>
    </w:p>
    <w:p>
      <w:pPr>
        <w:pStyle w:val="Heading2"/>
        <w:ind w:hanging="0" w:start="0"/>
        <w:rPr/>
      </w:pPr>
      <w:r>
        <w:rPr/>
        <w:t>State of Connecticut Department of Public Utility Control</w:t>
      </w:r>
    </w:p>
    <w:p>
      <w:pPr>
        <w:pStyle w:val="Normal"/>
        <w:jc w:val="both"/>
        <w:rPr/>
      </w:pPr>
      <w:r>
        <w:rPr/>
      </w:r>
    </w:p>
    <w:p>
      <w:pPr>
        <w:pStyle w:val="Normal"/>
        <w:jc w:val="both"/>
        <w:rPr/>
      </w:pPr>
      <w:r>
        <w:rPr/>
        <w:tab/>
        <w:t>Claims FERC erred by:</w:t>
      </w:r>
    </w:p>
    <w:p>
      <w:pPr>
        <w:pStyle w:val="Normal"/>
        <w:jc w:val="both"/>
        <w:rPr/>
      </w:pPr>
      <w:r>
        <w:rPr/>
      </w:r>
    </w:p>
    <w:p>
      <w:pPr>
        <w:pStyle w:val="Normal"/>
        <w:numPr>
          <w:ilvl w:val="0"/>
          <w:numId w:val="2"/>
        </w:numPr>
        <w:jc w:val="both"/>
        <w:rPr/>
      </w:pPr>
      <w:r>
        <w:rPr/>
        <w:t>mandating a Northeastern RTO (in contravention of FERC rules and the FPA)</w:t>
      </w:r>
    </w:p>
    <w:p>
      <w:pPr>
        <w:pStyle w:val="Normal"/>
        <w:numPr>
          <w:ilvl w:val="0"/>
          <w:numId w:val="2"/>
        </w:numPr>
        <w:jc w:val="both"/>
        <w:rPr/>
      </w:pPr>
      <w:r>
        <w:rPr/>
        <w:t xml:space="preserve">not providing opportunity for notice and comment </w:t>
      </w:r>
    </w:p>
    <w:p>
      <w:pPr>
        <w:pStyle w:val="Normal"/>
        <w:jc w:val="both"/>
        <w:rPr/>
      </w:pPr>
      <w:r>
        <w:rPr/>
      </w:r>
    </w:p>
    <w:p>
      <w:pPr>
        <w:pStyle w:val="Normal"/>
        <w:jc w:val="both"/>
        <w:rPr>
          <w:b/>
          <w:bCs/>
        </w:rPr>
      </w:pPr>
      <w:r>
        <w:rPr>
          <w:b/>
          <w:bCs/>
        </w:rPr>
        <w:t>State of Connecticut (Attorney General)</w:t>
      </w:r>
    </w:p>
    <w:p>
      <w:pPr>
        <w:pStyle w:val="Normal"/>
        <w:jc w:val="both"/>
        <w:rPr/>
      </w:pPr>
      <w:r>
        <w:rPr/>
      </w:r>
    </w:p>
    <w:p>
      <w:pPr>
        <w:pStyle w:val="Normal"/>
        <w:rPr/>
      </w:pPr>
      <w:r>
        <w:rPr/>
        <w:tab/>
        <w:t xml:space="preserve">Requests clarification that FERC was not ordering that the Northeast ISOs </w:t>
      </w:r>
      <w:r>
        <w:rPr>
          <w:i/>
          <w:iCs/>
        </w:rPr>
        <w:t>must</w:t>
      </w:r>
      <w:r>
        <w:rPr/>
        <w:t xml:space="preserve"> form a Northeastern RTO.  Alternatively, requests rehearing on grounds that FERC has exceeded its authority under FPA.</w:t>
      </w:r>
    </w:p>
    <w:p>
      <w:pPr>
        <w:pStyle w:val="Normal"/>
        <w:rPr/>
      </w:pPr>
      <w:r>
        <w:rPr/>
      </w:r>
    </w:p>
    <w:p>
      <w:pPr>
        <w:pStyle w:val="BodyText2"/>
        <w:rPr/>
      </w:pPr>
      <w:r>
        <w:rPr/>
        <w:t>Vermont Department of Public Service and New Hampshire Public Utilities Commission</w:t>
      </w:r>
    </w:p>
    <w:p>
      <w:pPr>
        <w:pStyle w:val="Normal"/>
        <w:rPr/>
      </w:pPr>
      <w:r>
        <w:rPr/>
      </w:r>
    </w:p>
    <w:p>
      <w:pPr>
        <w:pStyle w:val="Normal"/>
        <w:rPr/>
      </w:pPr>
      <w:r>
        <w:rPr/>
        <w:tab/>
        <w:t xml:space="preserve">Requests clarification that FERC was not ordering that the Northeast ISOs </w:t>
      </w:r>
      <w:r>
        <w:rPr>
          <w:i/>
          <w:iCs/>
        </w:rPr>
        <w:t>must</w:t>
      </w:r>
      <w:r>
        <w:rPr/>
        <w:t xml:space="preserve"> form a Northeastern RTO.  Alternatively, requests rehearing on grounds that FERC has exceeded its authority under FPA.</w:t>
      </w:r>
    </w:p>
    <w:p>
      <w:pPr>
        <w:pStyle w:val="Normal"/>
        <w:jc w:val="both"/>
        <w:rPr>
          <w:b/>
          <w:bCs/>
        </w:rPr>
      </w:pPr>
      <w:r>
        <w:rPr>
          <w:b/>
          <w:bCs/>
        </w:rPr>
      </w:r>
    </w:p>
    <w:p>
      <w:pPr>
        <w:pStyle w:val="Heading1"/>
        <w:ind w:hanging="0" w:start="0"/>
        <w:rPr/>
      </w:pPr>
      <w:r>
        <w:rPr/>
        <w:t>Massachusetts Division of Energy Resources</w:t>
      </w:r>
    </w:p>
    <w:p>
      <w:pPr>
        <w:pStyle w:val="Normal"/>
        <w:rPr/>
      </w:pPr>
      <w:r>
        <w:rPr/>
      </w:r>
    </w:p>
    <w:p>
      <w:pPr>
        <w:pStyle w:val="Normal"/>
        <w:rPr/>
      </w:pPr>
      <w:r>
        <w:rPr/>
        <w:tab/>
        <w:t>Claims FERC erred by:</w:t>
      </w:r>
    </w:p>
    <w:p>
      <w:pPr>
        <w:pStyle w:val="Normal"/>
        <w:rPr/>
      </w:pPr>
      <w:r>
        <w:rPr/>
      </w:r>
    </w:p>
    <w:p>
      <w:pPr>
        <w:pStyle w:val="Normal"/>
        <w:numPr>
          <w:ilvl w:val="0"/>
          <w:numId w:val="2"/>
        </w:numPr>
        <w:rPr/>
      </w:pPr>
      <w:r>
        <w:rPr/>
        <w:t>finding that NERTO did not satisfy independence requirements</w:t>
      </w:r>
    </w:p>
    <w:p>
      <w:pPr>
        <w:pStyle w:val="Normal"/>
        <w:numPr>
          <w:ilvl w:val="0"/>
          <w:numId w:val="2"/>
        </w:numPr>
        <w:jc w:val="both"/>
        <w:rPr/>
      </w:pPr>
      <w:r>
        <w:rPr/>
        <w:t>finding that an independent market monitoring unit was not justified</w:t>
      </w:r>
    </w:p>
    <w:p>
      <w:pPr>
        <w:pStyle w:val="Normal"/>
        <w:numPr>
          <w:ilvl w:val="0"/>
          <w:numId w:val="2"/>
        </w:numPr>
        <w:jc w:val="both"/>
        <w:rPr/>
      </w:pPr>
      <w:r>
        <w:rPr/>
        <w:t>finding that a single Northeastern RTO will result in lower wholesale electricity prices</w:t>
      </w:r>
    </w:p>
    <w:p>
      <w:pPr>
        <w:pStyle w:val="BodyText"/>
        <w:rPr/>
      </w:pPr>
      <w:r>
        <w:rPr/>
      </w:r>
    </w:p>
    <w:p>
      <w:pPr>
        <w:pStyle w:val="BodyText"/>
        <w:rPr>
          <w:b/>
          <w:bCs/>
        </w:rPr>
      </w:pPr>
      <w:r>
        <w:rPr>
          <w:b/>
          <w:bCs/>
        </w:rPr>
        <w:t>New England Publicly-Owned Entities</w:t>
      </w:r>
    </w:p>
    <w:p>
      <w:pPr>
        <w:pStyle w:val="BodyText"/>
        <w:rPr/>
      </w:pPr>
      <w:r>
        <w:rPr/>
      </w:r>
    </w:p>
    <w:p>
      <w:pPr>
        <w:pStyle w:val="BodyText"/>
        <w:rPr/>
      </w:pPr>
      <w:r>
        <w:rPr/>
        <w:tab/>
        <w:t>Claims FERC erred by</w:t>
      </w:r>
    </w:p>
    <w:p>
      <w:pPr>
        <w:pStyle w:val="BodyText"/>
        <w:rPr/>
      </w:pPr>
      <w:r>
        <w:rPr/>
      </w:r>
    </w:p>
    <w:p>
      <w:pPr>
        <w:pStyle w:val="BodyText"/>
        <w:numPr>
          <w:ilvl w:val="0"/>
          <w:numId w:val="2"/>
        </w:numPr>
        <w:rPr/>
      </w:pPr>
      <w:r>
        <w:rPr/>
        <w:t>finding that the existing New England arrangements involving ISO NE and NEPOOL do not meet the independence requirement</w:t>
      </w:r>
    </w:p>
    <w:p>
      <w:pPr>
        <w:pStyle w:val="BodyText"/>
        <w:numPr>
          <w:ilvl w:val="0"/>
          <w:numId w:val="2"/>
        </w:numPr>
        <w:rPr/>
      </w:pPr>
      <w:r>
        <w:rPr/>
        <w:t>finding that the proposed New England ITC governance structure does meet the independence requirement</w:t>
      </w:r>
    </w:p>
    <w:p>
      <w:pPr>
        <w:pStyle w:val="BodyText"/>
        <w:numPr>
          <w:ilvl w:val="0"/>
          <w:numId w:val="2"/>
        </w:numPr>
        <w:rPr/>
      </w:pPr>
      <w:r>
        <w:rPr/>
        <w:t>determining that a single Northeast RTO will result in lower wholesale electricity prices</w:t>
      </w:r>
    </w:p>
    <w:p>
      <w:pPr>
        <w:pStyle w:val="BodyText"/>
        <w:numPr>
          <w:ilvl w:val="0"/>
          <w:numId w:val="2"/>
        </w:numPr>
        <w:rPr/>
      </w:pPr>
      <w:r>
        <w:rPr/>
        <w:t>concluding that existing New England-specific scope does not meet scope/configuration requirements</w:t>
      </w:r>
    </w:p>
    <w:p>
      <w:pPr>
        <w:pStyle w:val="Normal"/>
        <w:rPr/>
      </w:pPr>
      <w:r>
        <w:rPr/>
        <w:t>ordered mediation relating to a Northeastern RTO without first evaluating the results of RTO development elsewhere in the U.S.</w:t>
        <w:tab/>
      </w:r>
    </w:p>
    <w:p>
      <w:pPr>
        <w:pStyle w:val="Normal"/>
        <w:rPr/>
      </w:pPr>
      <w:r>
        <w:rPr/>
      </w:r>
    </w:p>
    <w:p>
      <w:pPr>
        <w:pStyle w:val="Heading1"/>
        <w:ind w:hanging="0" w:start="0"/>
        <w:rPr/>
      </w:pPr>
      <w:r>
        <w:rPr/>
        <w:t>Maine Public Utilities Commission</w:t>
      </w:r>
    </w:p>
    <w:p>
      <w:pPr>
        <w:pStyle w:val="BodyText"/>
        <w:ind w:firstLine="720" w:end="0"/>
        <w:rPr/>
      </w:pPr>
      <w:r>
        <w:rPr/>
      </w:r>
    </w:p>
    <w:p>
      <w:pPr>
        <w:pStyle w:val="BodyText"/>
        <w:ind w:firstLine="720" w:end="0"/>
        <w:rPr/>
      </w:pPr>
      <w:r>
        <w:rPr/>
        <w:t>The mediation ordered by FERC, along with FERC’s decision on halt implementation of SMD in New England, will result in delay in implementing needed market reforms.</w:t>
      </w:r>
    </w:p>
    <w:p>
      <w:pPr>
        <w:pStyle w:val="BodyText"/>
        <w:ind w:firstLine="720" w:end="0"/>
        <w:rPr/>
      </w:pPr>
      <w:r>
        <w:rPr/>
      </w:r>
    </w:p>
    <w:p>
      <w:pPr>
        <w:pStyle w:val="BodyText"/>
        <w:rPr>
          <w:b/>
          <w:bCs/>
        </w:rPr>
      </w:pPr>
      <w:r>
        <w:rPr>
          <w:b/>
          <w:bCs/>
        </w:rPr>
        <w:t>Bangor Hydro-Electric Company, National Grid, Northeast Utilities Service Company, NSTAR Services Company, United Illuminating Company, Vermont Electric Power Company</w:t>
      </w:r>
    </w:p>
    <w:p>
      <w:pPr>
        <w:pStyle w:val="BodyText"/>
        <w:rPr/>
      </w:pPr>
      <w:r>
        <w:rPr/>
      </w:r>
    </w:p>
    <w:p>
      <w:pPr>
        <w:pStyle w:val="BodyText"/>
        <w:rPr/>
      </w:pPr>
      <w:r>
        <w:rPr/>
        <w:tab/>
        <w:t>Requests clarification that RTO participation remains voluntary.  Alternatively, requests rehearing because FERC did not follow the required procedures for modifying Order No. 2000.</w:t>
      </w:r>
    </w:p>
    <w:p>
      <w:pPr>
        <w:pStyle w:val="BodyText"/>
        <w:rPr/>
      </w:pPr>
      <w:r>
        <w:rPr/>
      </w:r>
    </w:p>
    <w:p>
      <w:pPr>
        <w:pStyle w:val="BodyText"/>
        <w:rPr>
          <w:b/>
          <w:bCs/>
          <w:u w:val="single"/>
        </w:rPr>
      </w:pPr>
      <w:r>
        <w:rPr>
          <w:b/>
          <w:bCs/>
          <w:u w:val="single"/>
        </w:rPr>
        <w:t>New York ISO (RT01-95)</w:t>
      </w:r>
    </w:p>
    <w:p>
      <w:pPr>
        <w:pStyle w:val="BodyText"/>
        <w:rPr>
          <w:b/>
          <w:bCs/>
          <w:u w:val="single"/>
        </w:rPr>
      </w:pPr>
      <w:r>
        <w:rPr>
          <w:b/>
          <w:bCs/>
          <w:u w:val="single"/>
        </w:rPr>
      </w:r>
    </w:p>
    <w:p>
      <w:pPr>
        <w:pStyle w:val="BodyText"/>
        <w:rPr>
          <w:b/>
          <w:bCs/>
        </w:rPr>
      </w:pPr>
      <w:r>
        <w:rPr>
          <w:b/>
          <w:bCs/>
        </w:rPr>
        <w:t>New York Transmission Owners</w:t>
      </w:r>
    </w:p>
    <w:p>
      <w:pPr>
        <w:pStyle w:val="BodyText"/>
        <w:rPr/>
      </w:pPr>
      <w:r>
        <w:rPr/>
      </w:r>
    </w:p>
    <w:p>
      <w:pPr>
        <w:pStyle w:val="BodyText"/>
        <w:ind w:firstLine="720" w:end="0"/>
        <w:rPr/>
      </w:pPr>
      <w:r>
        <w:rPr/>
        <w:t>Claim that FERC erred by:</w:t>
      </w:r>
    </w:p>
    <w:p>
      <w:pPr>
        <w:pStyle w:val="BodyText"/>
        <w:ind w:firstLine="720" w:end="0"/>
        <w:rPr/>
      </w:pPr>
      <w:r>
        <w:rPr/>
      </w:r>
    </w:p>
    <w:p>
      <w:pPr>
        <w:pStyle w:val="BodyText"/>
        <w:numPr>
          <w:ilvl w:val="0"/>
          <w:numId w:val="2"/>
        </w:numPr>
        <w:rPr/>
      </w:pPr>
      <w:r>
        <w:rPr/>
        <w:t>exceeding its authority and failing to follow required procedures for departing from Order No. 2000 and requiring a single Northeastern RTO</w:t>
      </w:r>
    </w:p>
    <w:p>
      <w:pPr>
        <w:pStyle w:val="BodyText"/>
        <w:ind w:start="720" w:end="0"/>
        <w:rPr/>
      </w:pPr>
      <w:r>
        <w:rPr/>
      </w:r>
    </w:p>
    <w:p>
      <w:pPr>
        <w:pStyle w:val="BodyText"/>
        <w:numPr>
          <w:ilvl w:val="0"/>
          <w:numId w:val="2"/>
        </w:numPr>
        <w:rPr/>
      </w:pPr>
      <w:r>
        <w:rPr/>
        <w:t>finding that:</w:t>
      </w:r>
    </w:p>
    <w:p>
      <w:pPr>
        <w:pStyle w:val="BodyText"/>
        <w:numPr>
          <w:ilvl w:val="1"/>
          <w:numId w:val="2"/>
        </w:numPr>
        <w:rPr/>
      </w:pPr>
      <w:r>
        <w:rPr/>
        <w:t xml:space="preserve"> </w:t>
      </w:r>
      <w:r>
        <w:rPr/>
        <w:t>NYISO does not meet the geographic scope requirements of Order No. 2000</w:t>
      </w:r>
    </w:p>
    <w:p>
      <w:pPr>
        <w:pStyle w:val="BodyText"/>
        <w:numPr>
          <w:ilvl w:val="1"/>
          <w:numId w:val="2"/>
        </w:numPr>
        <w:rPr/>
      </w:pPr>
      <w:r>
        <w:rPr/>
        <w:t>a single Northeast RTO must adopt the PJM market design as a platform</w:t>
      </w:r>
    </w:p>
    <w:p>
      <w:pPr>
        <w:pStyle w:val="BodyText"/>
        <w:numPr>
          <w:ilvl w:val="1"/>
          <w:numId w:val="2"/>
        </w:numPr>
        <w:rPr/>
      </w:pPr>
      <w:r>
        <w:rPr/>
        <w:t>NYISO does not satisfy the governance requirements</w:t>
      </w:r>
    </w:p>
    <w:p>
      <w:pPr>
        <w:pStyle w:val="BodyText"/>
        <w:numPr>
          <w:ilvl w:val="1"/>
          <w:numId w:val="2"/>
        </w:numPr>
        <w:rPr/>
      </w:pPr>
      <w:r>
        <w:rPr/>
        <w:t>NYISO does not adequately control parallel path flows with other  control areas</w:t>
      </w:r>
    </w:p>
    <w:p>
      <w:pPr>
        <w:pStyle w:val="BodyText"/>
        <w:numPr>
          <w:ilvl w:val="1"/>
          <w:numId w:val="2"/>
        </w:numPr>
        <w:rPr/>
      </w:pPr>
      <w:r>
        <w:rPr/>
        <w:t>NYISO does not adequately control parallel path flows with other control areas</w:t>
      </w:r>
    </w:p>
    <w:p>
      <w:pPr>
        <w:pStyle w:val="BodyText"/>
        <w:numPr>
          <w:ilvl w:val="1"/>
          <w:numId w:val="2"/>
        </w:numPr>
        <w:rPr/>
      </w:pPr>
      <w:r>
        <w:rPr/>
        <w:t>NYISO does not have adequate operational control of transmission facilities in New York</w:t>
      </w:r>
    </w:p>
    <w:p>
      <w:pPr>
        <w:pStyle w:val="BodyText"/>
        <w:numPr>
          <w:ilvl w:val="1"/>
          <w:numId w:val="2"/>
        </w:numPr>
        <w:rPr/>
      </w:pPr>
      <w:r>
        <w:rPr/>
        <w:t>NYISO’s transmission expansion and interconnection process does not satisfy the requirements of Order No. 2000</w:t>
      </w:r>
      <w:r>
        <w:br w:type="page"/>
      </w:r>
    </w:p>
    <w:p>
      <w:pPr>
        <w:pStyle w:val="BodyText"/>
        <w:rPr/>
      </w:pPr>
      <w:r>
        <w:rPr/>
      </w:r>
    </w:p>
    <w:p>
      <w:pPr>
        <w:pStyle w:val="BodyText"/>
        <w:rPr>
          <w:b/>
          <w:bCs/>
        </w:rPr>
      </w:pPr>
      <w:r>
        <w:rPr>
          <w:b/>
          <w:bCs/>
        </w:rPr>
        <w:t>Long Island Power Authority</w:t>
      </w:r>
    </w:p>
    <w:p>
      <w:pPr>
        <w:pStyle w:val="BodyText"/>
        <w:rPr/>
      </w:pPr>
      <w:r>
        <w:rPr/>
      </w:r>
    </w:p>
    <w:p>
      <w:pPr>
        <w:pStyle w:val="BodyText"/>
        <w:rPr/>
      </w:pPr>
      <w:r>
        <w:rPr/>
        <w:tab/>
        <w:t>Requests clarification to state that the provisions in the NYISO Agreement and the NYISO OATT that preserve both the tax exempt status of the Long Island Power Authority’s financing used to acquire LIPA and the Authority’s jurisdictional independence to establish its transmission revenue requirements be preserved and carried forward into any single Northeastern RTO arrangement.  Alternatively, requests rehearing of FERC’s failure to address such matters in the July 12 orders.</w:t>
      </w:r>
    </w:p>
    <w:p>
      <w:pPr>
        <w:pStyle w:val="BodyText"/>
        <w:rPr/>
      </w:pPr>
      <w:r>
        <w:rPr/>
      </w:r>
    </w:p>
    <w:p>
      <w:pPr>
        <w:pStyle w:val="BodyText"/>
        <w:rPr>
          <w:b/>
          <w:bCs/>
        </w:rPr>
      </w:pPr>
      <w:r>
        <w:rPr>
          <w:b/>
          <w:bCs/>
        </w:rPr>
        <w:t>New York Independent System Operator, Inc.</w:t>
      </w:r>
    </w:p>
    <w:p>
      <w:pPr>
        <w:pStyle w:val="BodyText"/>
        <w:rPr/>
      </w:pPr>
      <w:r>
        <w:rPr/>
      </w:r>
    </w:p>
    <w:p>
      <w:pPr>
        <w:pStyle w:val="BodyText"/>
        <w:ind w:firstLine="720" w:end="0"/>
        <w:rPr/>
      </w:pPr>
      <w:r>
        <w:rPr/>
        <w:t>Claims FERC erred by:</w:t>
      </w:r>
    </w:p>
    <w:p>
      <w:pPr>
        <w:pStyle w:val="BodyText"/>
        <w:ind w:firstLine="720" w:end="0"/>
        <w:rPr/>
      </w:pPr>
      <w:r>
        <w:rPr/>
      </w:r>
    </w:p>
    <w:p>
      <w:pPr>
        <w:pStyle w:val="BodyText"/>
        <w:numPr>
          <w:ilvl w:val="0"/>
          <w:numId w:val="2"/>
        </w:numPr>
        <w:rPr/>
      </w:pPr>
      <w:r>
        <w:rPr/>
        <w:t>finding that the entire Northeast is a natural market</w:t>
      </w:r>
    </w:p>
    <w:p>
      <w:pPr>
        <w:pStyle w:val="BodyText"/>
        <w:numPr>
          <w:ilvl w:val="0"/>
          <w:numId w:val="2"/>
        </w:numPr>
        <w:rPr/>
      </w:pPr>
      <w:r>
        <w:rPr/>
        <w:t>not properly applying Order No. 2000’s boundary evaluation and regional configuration factors</w:t>
      </w:r>
    </w:p>
    <w:p>
      <w:pPr>
        <w:pStyle w:val="BodyText"/>
        <w:numPr>
          <w:ilvl w:val="0"/>
          <w:numId w:val="2"/>
        </w:numPr>
        <w:rPr/>
      </w:pPr>
      <w:r>
        <w:rPr/>
        <w:t>not initiating a notice and comment rulemaking</w:t>
      </w:r>
    </w:p>
    <w:p>
      <w:pPr>
        <w:pStyle w:val="BodyText"/>
        <w:numPr>
          <w:ilvl w:val="0"/>
          <w:numId w:val="2"/>
        </w:numPr>
        <w:rPr/>
      </w:pPr>
      <w:r>
        <w:rPr/>
        <w:t>concluding that NYISO lacks sufficient independence to be an RTO</w:t>
      </w:r>
    </w:p>
    <w:p>
      <w:pPr>
        <w:pStyle w:val="BodyText"/>
        <w:numPr>
          <w:ilvl w:val="0"/>
          <w:numId w:val="2"/>
        </w:numPr>
        <w:rPr/>
      </w:pPr>
      <w:r>
        <w:rPr/>
        <w:t>finding that NYISO’s operational authority, tariff filing authority, congestion management practices, parallel path flow procedures, transmission expansion authority and inter-regional coordination efforts did not meet Order No. 2000 standards.</w:t>
      </w:r>
    </w:p>
    <w:p>
      <w:pPr>
        <w:pStyle w:val="BodyText"/>
        <w:rPr/>
      </w:pPr>
      <w:r>
        <w:rPr/>
      </w:r>
    </w:p>
    <w:p>
      <w:pPr>
        <w:pStyle w:val="BodyText"/>
        <w:rPr/>
      </w:pPr>
      <w:r>
        <w:rPr/>
        <w:tab/>
        <w:t>NYISO filed a separate request for rehearing of the July 12 order in Docket No. RT01-99, claiming that FERC erred in ordering a single Northeastern RTO and pointing out that no such RTO has been voluntarily proposed.</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bullet"/>
      <w:lvlText w:val="-"/>
      <w:lvlJc w:val="start"/>
      <w:pPr>
        <w:tabs>
          <w:tab w:val="num" w:pos="1080"/>
        </w:tabs>
        <w:ind w:start="1080" w:hanging="360"/>
      </w:pPr>
      <w:rPr>
        <w:rFonts w:ascii="Times New Roman" w:hAnsi="Times New Roman" w:cs="Times New Roman"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2001-08-23T18:36:00Z</dcterms:created>
  <dc:creator>Susan Lindberg</dc:creator>
  <dc:description/>
  <dc:language>en-CA</dc:language>
  <cp:lastModifiedBy>Susan Lindberg</cp:lastModifiedBy>
  <dcterms:modified xsi:type="dcterms:W3CDTF">2001-08-24T19:09:00Z</dcterms:modified>
  <cp:revision>7</cp:revision>
  <dc:subject/>
  <dc:title>August 23, 2001</dc:title>
</cp:coreProperties>
</file>