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Neumin Production Company, a 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Formosa Plastics Corporation, U.S.A. shall have defaulted on its indebted</w:t>
        <w:softHyphen/>
        <w:t xml:space="preserve">ness to third parties, resulting in an acceleration of obligations of Formosa Plastics Corporation, USA.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attached as </w:t>
      </w:r>
      <w:r>
        <w:rPr>
          <w:rFonts w:cs="Arial Narrow" w:ascii="Arial Narrow" w:hAnsi="Arial Narrow"/>
          <w:sz w:val="18"/>
          <w:u w:val="single"/>
        </w:rPr>
        <w:t>Exhibit "C."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$60,000,000, such Party as the Beneficiary Party may request the other Party to establish a Letter of Credit as the Account Party in an amount equal to the Termination Payment in excess of $60,000,000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NEUMIN PRODUCTION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/mnt/main-storage/datasets/enron-docs/doc/NEUMIN__PROD.___CO.doc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"Formosa Plastics Corporation, U.S.A.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less than 2.0 to 1; or (b) that ratio of its  EBITDA to Interest Expense is less than 1.0:1,or (c) its New Worth is less than $1,000,000,000.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Neumin  Production Company</w:t>
      </w:r>
    </w:p>
    <w:p>
      <w:pPr>
        <w:pStyle w:val="Normal"/>
        <w:jc w:val="both"/>
        <w:rPr>
          <w:rFonts w:ascii="Arial Narrow" w:hAnsi="Arial Narrow" w:cs="Arial Narrow"/>
          <w:sz w:val="18"/>
        </w:rPr>
      </w:pPr>
      <w:r>
        <w:rPr>
          <w:rFonts w:cs="Arial Narrow" w:ascii="Arial Narrow" w:hAnsi="Arial Narrow"/>
          <w:sz w:val="18"/>
        </w:rPr>
        <w:t>103 Fannin Road</w:t>
      </w:r>
    </w:p>
    <w:p>
      <w:pPr>
        <w:pStyle w:val="Normal"/>
        <w:jc w:val="both"/>
        <w:rPr>
          <w:rFonts w:ascii="Arial Narrow" w:hAnsi="Arial Narrow" w:cs="Arial Narrow"/>
          <w:sz w:val="18"/>
        </w:rPr>
      </w:pPr>
      <w:r>
        <w:rPr>
          <w:rFonts w:cs="Arial Narrow" w:ascii="Arial Narrow" w:hAnsi="Arial Narrow"/>
          <w:sz w:val="18"/>
        </w:rPr>
        <w:t>Point Comfort, TX 7978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r>
        <w:br w:type="page"/>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Neumin Production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pBdr>
          <w:bottom w:val="single" w:sz="12" w:space="1" w:color="000000"/>
        </w:pBdr>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r>
    </w:p>
    <w:p>
      <w:pPr>
        <w:pStyle w:val="Heading1"/>
        <w:ind w:hanging="0" w:start="0"/>
        <w:rPr/>
      </w:pPr>
      <w:r>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Neumin Production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Heading1"/>
        <w:tabs>
          <w:tab w:val="clear" w:pos="720"/>
          <w:tab w:val="left" w:pos="3960" w:leader="none"/>
          <w:tab w:val="left" w:pos="5280" w:leader="none"/>
          <w:tab w:val="left" w:pos="9180" w:leader="none"/>
        </w:tabs>
        <w:ind w:hanging="0" w:start="0"/>
        <w:rPr/>
      </w:pPr>
      <w:r>
        <w:rPr/>
        <w:t>SIGNATURE LINES FOR CUSTOMER AND COMPANY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Heading1"/>
        <w:ind w:hanging="0" w:start="0"/>
        <w:rPr/>
      </w:pPr>
      <w:r>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Formosa Plastics Corporation USA,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Neumin Production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Contract Party and each of Formosa Hydrocarbons Company, Inc. and Neumin Production Company, both wholly owned subsidiaries of Guarantor (each an “Obligor” and collectively “Obligors”), have entered into one or more swap, option, or other financially-settled derivative transactions and an ISDA Master Agreement (said ISDA Master Agreements as the same may from time to time be modified, amended and supplemented, particularly including all Transactions thereunder, the “</w:t>
      </w:r>
      <w:r>
        <w:rPr>
          <w:rFonts w:cs="Arial Narrow" w:ascii="Arial Narrow" w:hAnsi="Arial Narrow"/>
          <w:sz w:val="18"/>
          <w:u w:val="single"/>
        </w:rPr>
        <w:t>Financial Contract</w:t>
      </w:r>
      <w:r>
        <w:rPr>
          <w:rFonts w:cs="Arial Narrow" w:ascii="Arial Narrow" w:hAnsi="Arial Narrow"/>
          <w:sz w:val="18"/>
        </w:rPr>
        <w:t>”),</w:t>
      </w:r>
      <w:r>
        <w:rPr>
          <w:sz w:val="22"/>
        </w:rPr>
        <w:t xml:space="preserve"> </w:t>
      </w:r>
      <w:r>
        <w:rPr>
          <w:rFonts w:cs="Arial Narrow" w:ascii="Arial Narrow" w:hAnsi="Arial Narrow"/>
          <w:sz w:val="18"/>
        </w:rPr>
        <w:t>(iii)  Guarantor will directly or indirectly benefit from the Gas Contract and (iv)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issued by a bank, in a form, and in such amount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tabs>
          <w:tab w:val="clear" w:pos="720"/>
          <w:tab w:val="left" w:pos="-720" w:leader="none"/>
          <w:tab w:val="left" w:pos="1800" w:leader="none"/>
        </w:tabs>
        <w:suppressAutoHyphens w:val="true"/>
        <w:ind w:end="50"/>
        <w:jc w:val="both"/>
        <w:rPr/>
      </w:pPr>
      <w:r>
        <w:rPr>
          <w:rFonts w:cs="Arial Narrow" w:ascii="Arial Narrow" w:hAnsi="Arial Narrow"/>
          <w:b/>
          <w:sz w:val="18"/>
        </w:rPr>
        <w:t xml:space="preserve">2.  </w:t>
      </w:r>
      <w:r>
        <w:rPr>
          <w:rFonts w:cs="Arial Narrow" w:ascii="Arial Narrow" w:hAnsi="Arial Narrow"/>
          <w:b/>
          <w:sz w:val="18"/>
          <w:u w:val="single"/>
        </w:rPr>
        <w:t>UNLIMITED GUARANTY</w:t>
      </w:r>
      <w:r>
        <w:rPr>
          <w:rFonts w:cs="Arial Narrow" w:ascii="Arial Narrow" w:hAnsi="Arial Narrow"/>
          <w:sz w:val="18"/>
        </w:rPr>
        <w:t xml:space="preserve">.  </w:t>
      </w:r>
      <w:r>
        <w:rPr>
          <w:rFonts w:cs="Arial Narrow" w:ascii="Arial Narrow" w:hAnsi="Arial Narrow"/>
          <w:spacing w:val="-2"/>
          <w:sz w:val="18"/>
        </w:rPr>
        <w:t>This is an unlimited guaranty of all payment Obligations.  In addition, Guarantor shall pay all reasonable expenses, including, without limitation, attorneys’ fees, court costs and similar costs, of Contract Party in the event of judgment, settlement or other enforcement against Guarantor.  This Guaranty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FORMOSA PLASTICS CORPORATION, USA</w:t>
        <w:tab/>
        <w:tab/>
        <w:t>ENRON NORTH AMERICA CORP.</w:t>
        <w:tab/>
        <w:t xml:space="preserve">    </w:t>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8"/>
      <w:footerReference w:type="first" r:id="rId9"/>
      <w:type w:val="nextPage"/>
      <w:pgSz w:w="12240" w:h="15840"/>
      <w:pgMar w:left="1008" w:right="100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2001-04-05T12:52:00Z</dcterms:created>
  <dc:creator>dperlin</dc:creator>
  <dc:description/>
  <dc:language>en-CA</dc:language>
  <cp:lastModifiedBy>dperlin</cp:lastModifiedBy>
  <cp:lastPrinted>2001-04-05T11:23:00Z</cp:lastPrinted>
  <dcterms:modified xsi:type="dcterms:W3CDTF">2001-04-05T13:56:00Z</dcterms:modified>
  <cp:revision>4</cp:revision>
  <dc:subject/>
  <dc:title>ENFOLIO® MASTER FIRM PURCHASE/SALE AGREEMENT</dc:title>
</cp:coreProperties>
</file>