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NETCO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NETCO Group, ____________,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w:t>
      </w:r>
      <w:r>
        <w:rPr>
          <w:sz w:val="22"/>
          <w:szCs w:val="22"/>
        </w:rPr>
        <w:t xml:space="preserve"> </w:t>
      </w:r>
      <w:r>
        <w:rPr>
          <w:rFonts w:cs="Times New Roman" w:ascii="Times New Roman" w:hAnsi="Times New Roman"/>
          <w:sz w:val="22"/>
          <w:szCs w:val="22"/>
        </w:rPr>
        <w:t xml:space="preserve">or if such entity does not have a rating for its unsecured, senior long-term debt or deposit obligations, then the rating assigned to such entity as its “corporate credit rating” by S&amp;P.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NETCO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NETCO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firstLine="720" w:end="0"/>
        <w:jc w:val="both"/>
        <w:rPr>
          <w:sz w:val="22"/>
          <w:szCs w:val="22"/>
        </w:rPr>
      </w:pPr>
      <w:r>
        <w:rPr>
          <w:sz w:val="22"/>
          <w:szCs w:val="22"/>
        </w:rPr>
      </w:r>
    </w:p>
    <w:p>
      <w:pPr>
        <w:pStyle w:val="Normal"/>
        <w:ind w:firstLine="720" w:end="0"/>
        <w:jc w:val="both"/>
        <w:rPr/>
      </w:pPr>
      <w:r>
        <w:rPr>
          <w:sz w:val="22"/>
        </w:rPr>
        <w:t>"</w:t>
      </w:r>
      <w:r>
        <w:rPr>
          <w:sz w:val="22"/>
          <w:u w:val="single"/>
        </w:rPr>
        <w:t>NETCO Group's Aggregate Exposure</w:t>
      </w:r>
      <w:r>
        <w:rPr>
          <w:sz w:val="22"/>
        </w:rPr>
        <w:t>" shall have the meaning attributed to it in Paragraph 3(a).</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NETCO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other interests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NETCO Party under each Underlying Master Agreement shall be calculated and (ii) the Exposure for each Counterparty Party under each Underlying Master Agreement shall be calculated.  The Exposures of each NETCO Party to each Counterparty Party under each Underlying Master Agreement shall be aggregated to determine the "</w:t>
      </w:r>
      <w:r>
        <w:rPr>
          <w:sz w:val="22"/>
          <w:u w:val="single"/>
        </w:rPr>
        <w:t>NETCO Group's Aggregate Exposure</w:t>
      </w:r>
      <w:r>
        <w:rPr>
          <w:sz w:val="22"/>
        </w:rPr>
        <w:t>" to Counterparty Group.  The Exposures of each Counterparty Party to each NETCO Party under each Underlying Master Agreement shall be aggregated to determine the "</w:t>
      </w:r>
      <w:r>
        <w:rPr>
          <w:sz w:val="22"/>
          <w:u w:val="single"/>
        </w:rPr>
        <w:t>Counterparty Group's Aggregate Exposure</w:t>
      </w:r>
      <w:r>
        <w:rPr>
          <w:sz w:val="22"/>
        </w:rPr>
        <w:t>" to NETCO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for which there exist any unsatisfied payment Obligations,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for which there exist any unsatisfied payment Obligations.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The amount of Performance Assurance required to be reduced hereunder shall be rounded down to the nearest integral multiple of the Rounding Amount.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for which there exist any unsatisfied payment Obligations,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NETCO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NETCO Group is not in Default and a Material Adverse Change has not occurred and is continuing with respect to NETCO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NETCO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and is continuing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NETCO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NETCO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for which there exist any unsatisfied payment Obligations,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for which there exist any unsatisfied payment Obligations,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for which there exist any unsatisfied payment Obligations,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for which there exist any unsatisfied payment Obligations,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Except as otherwise provided in Paragraph 6(a)(iii) and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NETCO Party does hereby appoint the Collateral Administrator for NETCO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NETCO</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/mnt/main-storage/datasets/enron-docs/doc/NETCO_Master_Netting_Agreement_Credit_Support_Annex_Version_1.doc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2002-01-04T13:29:00Z</dcterms:created>
  <dc:creator>formosos</dc:creator>
  <dc:description/>
  <dc:language>en-CA</dc:language>
  <cp:lastModifiedBy>cstclai</cp:lastModifiedBy>
  <cp:lastPrinted>2002-01-04T10:02:00Z</cp:lastPrinted>
  <dcterms:modified xsi:type="dcterms:W3CDTF">2002-01-10T18:22:00Z</dcterms:modified>
  <cp:revision>4</cp:revision>
  <dc:subject/>
  <dc:title>COLLATERAL ANNEX</dc:title>
</cp:coreProperties>
</file>