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b/>
          <w:sz w:val="22"/>
          <w:u w:val="single"/>
        </w:rPr>
      </w:pPr>
      <w:r>
        <w:rPr>
          <w:b/>
          <w:sz w:val="22"/>
          <w:u w:val="single"/>
        </w:rPr>
      </w:r>
    </w:p>
    <w:p>
      <w:pPr>
        <w:pStyle w:val="Normal"/>
        <w:tabs>
          <w:tab w:val="clear" w:pos="720"/>
          <w:tab w:val="left" w:pos="0" w:leader="none"/>
        </w:tabs>
        <w:suppressAutoHyphens w:val="true"/>
        <w:jc w:val="center"/>
        <w:rPr>
          <w:b/>
          <w:bCs/>
          <w:sz w:val="22"/>
        </w:rPr>
      </w:pPr>
      <w:r>
        <w:rPr>
          <w:b/>
          <w:bCs/>
          <w:sz w:val="22"/>
        </w:rPr>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Collateral Annex (the “Collateral Annex”), supplements, forms a part of, and is subject to, the Enfolio Master Firm Purchase/Sale Agreement, dated ________, 200_ (the "</w:t>
      </w:r>
      <w:r>
        <w:rPr>
          <w:sz w:val="22"/>
          <w:u w:val="single"/>
        </w:rPr>
        <w:t>Agreement</w:t>
      </w:r>
      <w:r>
        <w:rPr>
          <w:sz w:val="22"/>
        </w:rPr>
        <w:t>") between ______________ (“</w:t>
      </w:r>
      <w:r>
        <w:rPr>
          <w:sz w:val="22"/>
          <w:u w:val="single"/>
        </w:rPr>
        <w:t>NETCO</w:t>
      </w:r>
      <w:r>
        <w:rPr>
          <w:sz w:val="22"/>
        </w:rPr>
        <w:t>”) and ______________ (“</w:t>
      </w:r>
      <w:r>
        <w:rPr>
          <w:sz w:val="22"/>
          <w:u w:val="single"/>
        </w:rPr>
        <w:t>Counterparty</w:t>
      </w:r>
      <w:r>
        <w:rPr>
          <w:sz w:val="22"/>
        </w:rPr>
        <w:t xml:space="preserve">”).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Normal"/>
        <w:spacing w:before="240" w:after="0"/>
        <w:ind w:firstLine="720" w:end="0"/>
        <w:jc w:val="both"/>
        <w:rPr/>
      </w:pPr>
      <w:r>
        <w:rPr>
          <w:bCs/>
          <w:iCs/>
          <w:sz w:val="22"/>
          <w:u w:val="single"/>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Party as Performance Assurance hereunder.</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NETCO or Counterparty, as applicable,  to secure payment or performance of any of its Obligations to the other Party, including without limitation, each Letter of Credit.</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Party,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or if such entity does not have a rating for its unsecured, senior long-term debt or deposit obligations, then the rating assigned to such entity as its “corporate credit rating” by S&amp;P.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Party acting with respect to Performance Assurance Transferred to such Party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Party</w:t>
      </w:r>
      <w:r>
        <w:rPr>
          <w:rFonts w:cs="Times New Roman" w:ascii="Times New Roman" w:hAnsi="Times New Roman"/>
          <w:sz w:val="22"/>
        </w:rPr>
        <w:t>" shall have the meaning attributed to it in Paragraph 6(a)(iv)(A).</w:t>
      </w:r>
    </w:p>
    <w:p>
      <w:pPr>
        <w:pStyle w:val="Normal"/>
        <w:spacing w:before="240" w:after="0"/>
        <w:ind w:firstLine="720" w:end="0"/>
        <w:jc w:val="both"/>
        <w:rPr/>
      </w:pPr>
      <w:r>
        <w:rPr>
          <w:sz w:val="22"/>
        </w:rPr>
        <w:t>"</w:t>
      </w:r>
      <w:r>
        <w:rPr>
          <w:sz w:val="22"/>
          <w:u w:val="single"/>
        </w:rPr>
        <w:t>Eligible Collateral</w:t>
      </w:r>
      <w:r>
        <w:rPr>
          <w:sz w:val="22"/>
        </w:rPr>
        <w:t>" means Collateral in the form of Cash or a Letter of Credit or as otherwise agreed to in writing by the Parties.</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Exposure</w:t>
      </w:r>
      <w:r>
        <w:rPr>
          <w:rFonts w:cs="Times New Roman" w:ascii="Times New Roman" w:hAnsi="Times New Roman"/>
          <w:sz w:val="22"/>
        </w:rPr>
        <w:t xml:space="preserve">" means, on any date, the amount that would be payable by one Party (First Party) to another Party (Second Party) under the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w:t>
      </w:r>
      <w:r>
        <w:rPr>
          <w:rFonts w:cs="Times New Roman" w:ascii="Times New Roman" w:hAnsi="Times New Roman"/>
          <w:sz w:val="22"/>
          <w:u w:val="single"/>
        </w:rPr>
        <w:t>provided,</w:t>
      </w:r>
      <w:r>
        <w:rPr>
          <w:rFonts w:cs="Times New Roman" w:ascii="Times New Roman" w:hAnsi="Times New Roman"/>
          <w:sz w:val="22"/>
        </w:rPr>
        <w:t xml:space="preserve"> Exposure will be determined using mid-market estimates of amounts applicable to such determination.</w:t>
      </w:r>
    </w:p>
    <w:p>
      <w:pPr>
        <w:pStyle w:val="Normal"/>
        <w:ind w:firstLine="720" w:end="0"/>
        <w:jc w:val="both"/>
        <w:rPr>
          <w:rFonts w:ascii="Times New Roman" w:hAnsi="Times New Roman" w:cs="Times New Roman"/>
          <w:sz w:val="22"/>
        </w:rPr>
      </w:pPr>
      <w:r>
        <w:rPr>
          <w:rFonts w:cs="Times New Roman"/>
          <w:sz w:val="22"/>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NETCO,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Party shall be zero upon the occurrence and during the continuance of a Material Adverse Change, Triggering Event, or any event which, with the giving of notice or the lapse of time or both, would constitute a Triggering Event (a "</w:t>
      </w:r>
      <w:r>
        <w:rPr>
          <w:sz w:val="22"/>
          <w:u w:val="single"/>
        </w:rPr>
        <w:t>Potential Triggering Event</w:t>
      </w:r>
      <w:r>
        <w:rPr>
          <w:sz w:val="22"/>
        </w:rPr>
        <w:t>") by or in respect of such Party.</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Party on that day, determined by Secured Party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Party (or if no Interest Amount has yet been Transferred, the Business Day on which Cash was Transferred to such Secured Party)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Party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NETCO and Counterparty]</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NETCO, $_________, and with respect to Counterparty,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firstLine="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tab/>
      </w:r>
    </w:p>
    <w:p>
      <w:pPr>
        <w:pStyle w:val="OmniPage5"/>
        <w:ind w:firstLine="710" w:start="50" w:end="100"/>
        <w:jc w:val="both"/>
        <w:rPr>
          <w:sz w:val="22"/>
          <w:u w:val="single"/>
        </w:rPr>
      </w:pPr>
      <w:r>
        <w:rPr>
          <w:sz w:val="22"/>
        </w:rPr>
        <w:t>"</w:t>
      </w:r>
      <w:r>
        <w:rPr>
          <w:sz w:val="22"/>
          <w:u w:val="single"/>
        </w:rPr>
        <w:t>Notification Time</w:t>
      </w:r>
      <w:r>
        <w:rPr>
          <w:sz w:val="22"/>
        </w:rPr>
        <w:t>" means 10:00 a.m. New York Time on any Business Day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Counterparty is bound to NETCO or for which NETCO is bound to Counterparty, under the Agreement, a Transaction, or this Collateral Annex, including, without limitation, payment and delivery obligations, each and every other obligation or requirement, any debt, any payment obligations in respect of any previously terminated Transaction, any obligation arising under a guarantee issued pursuant to the Agreement, a Transaction, or this Collateral Annex that Counterparty has provided to NETCO or that NETCO has provided to Counterparty, and each and every obligation or requirement under the Agreement, a Transaction, or this Collateral Annex to maintain or deliver Collateral with respect thereto (whether or not performance is due), or in connection with a guarantee, or acceleration, termination, or liquidation of a guarantee, whether arising under the Agreement, a Transaction, or this Collateral Annex,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NETCO or Counterparty as the context indicates, and "</w:t>
      </w:r>
      <w:r>
        <w:rPr>
          <w:sz w:val="22"/>
          <w:u w:val="single"/>
        </w:rPr>
        <w:t>Parties</w:t>
      </w:r>
      <w:r>
        <w:rPr>
          <w:sz w:val="22"/>
        </w:rPr>
        <w:t xml:space="preserve">" means all of the foregoing.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Party to which it is Transferred, and all proceeds thereof that have been Transferred to or received by a Party hereunder and not subsequently Transferred in return to the other Party or otherwise received by the other Party.  Any Interest Amount or portion thereof not Transferred pursuant to Paragraph 6(a)(v)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2"/>
        </w:rPr>
        <w:t>"</w:t>
      </w:r>
      <w:r>
        <w:rPr>
          <w:sz w:val="22"/>
          <w:u w:val="single"/>
        </w:rPr>
        <w:t>Pledging Party</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NETCO, $_________, and with respect to Counterparty,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Party (a division of McGraw-Hill, Inc.) or its successor.</w:t>
      </w:r>
    </w:p>
    <w:p>
      <w:pPr>
        <w:pStyle w:val="Normal"/>
        <w:spacing w:before="240" w:after="0"/>
        <w:ind w:firstLine="720" w:end="0"/>
        <w:jc w:val="both"/>
        <w:rPr/>
      </w:pPr>
      <w:r>
        <w:rPr>
          <w:sz w:val="22"/>
        </w:rPr>
        <w:t>"</w:t>
      </w:r>
      <w:r>
        <w:rPr>
          <w:sz w:val="22"/>
          <w:u w:val="single"/>
        </w:rPr>
        <w:t>Secured Party</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Party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twenty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Party, Pledging Party hereby pledges, assigns, conveys, and transfers to Secured Party, and hereby grants to Secured Party a present and continuing first priority security interest in and to, and a general first lien upon and right of setoff against, all Performance Assurance which has been or may in the future be Transferred to, or received by, Secured Party and/or its Custodian, and all dividends, interest, and other proceeds from time to time received, receivable, or otherwise distributed in respect of, or in exchange for, any or all of the foregoing.  Pledging Party agrees to take such action as Secured Party reasonably requests in order to perfect Secured Party's continuing security interest in, lien on, and right of setoff against such Performance Assurance and other interests and grants authority to Secured Party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the "</w:t>
      </w:r>
      <w:r>
        <w:rPr>
          <w:sz w:val="22"/>
          <w:u w:val="single"/>
        </w:rPr>
        <w:t>Exposure Amount</w:t>
      </w:r>
      <w:r>
        <w:rPr>
          <w:sz w:val="22"/>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2"/>
          <w:u w:val="single"/>
        </w:rPr>
        <w:t>Secured Party</w:t>
      </w:r>
      <w:r>
        <w:rPr>
          <w:sz w:val="22"/>
        </w:rPr>
        <w:t>”) shall be deemed to have a "</w:t>
      </w:r>
      <w:r>
        <w:rPr>
          <w:sz w:val="22"/>
          <w:u w:val="single"/>
        </w:rPr>
        <w:t>Net Exposure</w:t>
      </w:r>
      <w:r>
        <w:rPr>
          <w:sz w:val="22"/>
        </w:rPr>
        <w:t>" to the other Party (the “</w:t>
      </w:r>
      <w:r>
        <w:rPr>
          <w:sz w:val="22"/>
          <w:u w:val="single"/>
        </w:rPr>
        <w:t>Pledging Party</w:t>
      </w:r>
      <w:r>
        <w:rPr>
          <w:sz w:val="22"/>
        </w:rPr>
        <w:t>”) equal to the difference between the Secured Party’s Exposure Amount and the Pledging Party’s Exposure Amount.</w:t>
      </w:r>
    </w:p>
    <w:p>
      <w:pPr>
        <w:pStyle w:val="Normal"/>
        <w:spacing w:before="240" w:after="0"/>
        <w:ind w:firstLine="720" w:end="0"/>
        <w:jc w:val="both"/>
        <w:rPr/>
      </w:pPr>
      <w:r>
        <w:rPr>
          <w:sz w:val="22"/>
        </w:rPr>
        <w:t>(b) The "</w:t>
      </w:r>
      <w:r>
        <w:rPr>
          <w:sz w:val="22"/>
          <w:u w:val="single"/>
        </w:rPr>
        <w:t>Collateral Requirement</w:t>
      </w:r>
      <w:r>
        <w:rPr>
          <w:sz w:val="22"/>
        </w:rPr>
        <w:t>" for Pledging Party means the determination by Secured Party of (i) subject to Paragraph 3(c), Secured Party's Net Exposure minus (ii) the sum of:</w:t>
      </w:r>
    </w:p>
    <w:p>
      <w:pPr>
        <w:pStyle w:val="Normal"/>
        <w:tabs>
          <w:tab w:val="clear" w:pos="720"/>
          <w:tab w:val="left" w:pos="2160" w:leader="none"/>
        </w:tabs>
        <w:spacing w:before="240" w:after="0"/>
        <w:ind w:start="720" w:end="0"/>
        <w:jc w:val="both"/>
        <w:rPr>
          <w:sz w:val="22"/>
        </w:rPr>
      </w:pPr>
      <w:r>
        <w:rPr>
          <w:sz w:val="22"/>
        </w:rPr>
        <w:t>(A) Pledging Party's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Party, the Value of Cash held by Secured Party as a result of drawing under any Letter of Credit, and any Interest Amount that has not yet been Transferred to Pledging Party;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Party or any member thereof for the benefit of Secured Party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Party's Exposure Threshold is zero (0) on account of the occurrence of a Material Adverse Change or Triggering Event with respect to Pledging Party, then the amount in Paragraph 3(b)(i) shall equal 125% of Secured Party's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Triggering Event has occurred and is continuing with respect to Secured Party, (b) no Early Termination Date has occurred or been designated as a result of a Triggering Event with respect to Secured Party for which there exist are any unsatisfied payment Obligations, and (c) Pledging Party's Collateral Requirement equals or exceeds its Minimum Transfer Amount, then Secured Party may demand that Pledging Party Transfer to Secured Party, and Pledging Party shall, after receiving such notice from Secured Party, Transfer, or cause to be Transferred to Secured Party, Performance Assurance for the benefit of Secured Party, in an amount and with a Value at least equal to Pledging Party's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Party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Party shall specify and any such demand made by Secured Party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(a) On any Business Day (but no more frequently than weekly with respect to Letters of Credit and daily with respect to Cash), Pledging Party may request a reduction in the amount of Performance Assurance previously Transferred by Pledging Party for the benefit of Secured Party; </w:t>
      </w:r>
      <w:r>
        <w:rPr>
          <w:sz w:val="22"/>
          <w:u w:val="single"/>
        </w:rPr>
        <w:t>provided</w:t>
      </w:r>
      <w:r>
        <w:rPr>
          <w:sz w:val="22"/>
        </w:rPr>
        <w:t>, after the requested reduction in Performance Assurance, (i) Pledging Party shall then have a Collateral Requirement of zero (0); (ii) no Triggering Event or Potential Triggering Event with respect to Pledging Party shall have occurred and be continuing; and (iii) no Early Termination Date shall have occurred or been designated as a result of a Triggering Event with respect to Pledging Party for which there exist any unsatisfied payment Obligations.  A permitted reduction in Performance Assurance may be effected by the Transfer of Cash to Pledging Party or the reduction of the amount of an outstanding Letter of Credit previously issued for the benefit of Secured Party.  Pledging Party shall have the right to specify the means of effecting the reduction in Performance Assurance.  The amount of Performance Assurance required to be reduced hereunder shall be rounded down to the nearest integral multiple of the Rounding Amount.  In all cases, the cost and expense of reducing Performance Assurance (including, without limitation, the reasonable costs, expenses, and attorneys' fees of Secured Party) shall be borne by Pledging Party</w:t>
      </w:r>
      <w:r>
        <w:rPr>
          <w:bCs/>
          <w:sz w:val="22"/>
        </w:rPr>
        <w:t xml:space="preserve">.  Unless otherwise agreed in writing by the Parties, if Pledging Party's reduction demand is made on or before the Notification Time on a Business Day, then </w:t>
      </w:r>
      <w:r>
        <w:rPr>
          <w:sz w:val="22"/>
        </w:rPr>
        <w:t>Secured Party shall have one Business Day to effect a permitted reduction in Performance Assurance if such reduction is to be effected by the return of Cash to Pledging Party, and if made after the Notification Time on a Business Day, then Secured Party shall have two Business Days to effect such a permitted reduction by return of Cash.  If a permitted reduction in Performance Assurance is to be effected by a reduction in the amount of an outstanding Letter of Credit previously issued for the benefit of Secured Party, Secured Party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Triggering Event or Potential Triggering Event with respect to Pledging Party shall have occurred and be continuing or (ii) an Early Termination Date has occurred or been designated as a result of a Triggering Event with respect to Pledging Party for which there exist any unsatisfied payment Obligations, Pledging Party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Party; provided, if such substitute Performance Assurance is of a type not otherwise approved by this Collateral Annex, then Secured Party must consent to such substitution.  Upon the Transfer to Secured Party of the substitute Performance Assurance, Secured Party shall Transfer the relevant replaced Performance Assurance to Pledging Party.  Notwithstanding anything herein to the contrary, no such substitution shall be permitted unless (i) the substitute Performance Assurance is Transferred simultaneously or has been Transferred to Secured Party prior to the release of the Performance Assurance to be returned to Pledging Party and, in either case, the security interest in, and general first lien upon, such substituted Performance Assurance granted pursuant hereto in favor of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Party's Collateral Requirement or Pledging Party's Minimum Transfer Amount.  Each substitution of Performance Assurance shall constitute a reaffirmation by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Party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Party in accordance with this Paragraph 5 shall be deemed a release by Secured Party of its security interest, general first lien and right of offset granted pursuant to Paragraph 2 hereof only with respect to such returned Performance Assurance.  In connection with each Transfer of any Performance Assurance pursuant to this Paragraph 5, Pledging Party will, upon request of Secured Party,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Party shall satisfy the obligation of Secured Party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Party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NETCO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No Triggering Event or Material Adverse Change has occurred and is continuing with respect to NETCO.</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within the United States.</w:t>
      </w:r>
    </w:p>
    <w:p>
      <w:pPr>
        <w:pStyle w:val="BodyTextIndent"/>
        <w:ind w:start="720" w:end="0"/>
        <w:jc w:val="both"/>
        <w:rPr/>
      </w:pPr>
      <w:r>
        <w:rPr>
          <w:sz w:val="22"/>
        </w:rPr>
        <w:t>(C) The Custodian is a Qualified Institution approved by Counterparty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subject to the security interest of NETCO.</w:t>
      </w:r>
    </w:p>
    <w:p>
      <w:pPr>
        <w:pStyle w:val="Normal"/>
        <w:ind w:firstLine="720" w:end="0"/>
        <w:jc w:val="both"/>
        <w:rPr>
          <w:sz w:val="22"/>
          <w:szCs w:val="22"/>
        </w:rPr>
      </w:pPr>
      <w:r>
        <w:rPr>
          <w:sz w:val="22"/>
          <w:szCs w:val="22"/>
        </w:rPr>
        <w:t>(ii) Counterparty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No Triggering Event or Material Adverse Change has occurred and is continuing with respect to Counterparty.</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within the United States.</w:t>
      </w:r>
    </w:p>
    <w:p>
      <w:pPr>
        <w:pStyle w:val="BodyTextIndent"/>
        <w:ind w:start="720" w:end="0"/>
        <w:jc w:val="both"/>
        <w:rPr/>
      </w:pPr>
      <w:r>
        <w:rPr>
          <w:sz w:val="22"/>
        </w:rPr>
        <w:t>(C) The Custodian is a Qualified Institution approved by NETCO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NETCO, subject to the security interest of Counterparty.</w:t>
      </w:r>
    </w:p>
    <w:p>
      <w:pPr>
        <w:pStyle w:val="Normal"/>
        <w:spacing w:before="240" w:after="0"/>
        <w:ind w:firstLine="720" w:end="0"/>
        <w:jc w:val="both"/>
        <w:rPr>
          <w:b/>
          <w:sz w:val="22"/>
        </w:rPr>
      </w:pPr>
      <w:r>
        <w:rPr>
          <w:sz w:val="22"/>
        </w:rPr>
        <w:t xml:space="preserve">(iii) If a Party is entitled to hold Cash, then it will be entitled to hold Cash or to appoint a Custodian to hold Cash for it provided that the conditions for holding Cash that are set forth above for such Party and its Custodian are satisfied.  If such Party is not entitled to hold Cash, then the provisions of Paragraph 6(a)(iv)(A) shall not apply with respect to such Party and Cash shall be held in a Qualified Institution in accordance with the provisions of Paragraph 6(a)(iv)(B).  Upon notice by Secured Party to Pledging Party of the appointment of a Custodian, Pledging Party's obligations to make any Transfer will be discharged by making the Transfer to that Custodian.  The holding of Cash by a Custodian will be deemed to be the holding of Cash by Secured Party for which the Custodian is acting.  If Secured Party or its Custodian fails to satisfy any conditions for holding Cash as set forth above or if Secured Party is not entitled to hold Cash at any time, then Secured Party will Transfer, or cause its Custodian to Transfer, the Cash to a Qualified Institution and the Cash shall be maintained in accordance with Paragraph 6(a)(iv)(B), with the Party not eligible to hold Cash being considered the Downgraded Party (as defined below).  Secured Party will be liable for the acts or omissions of its Custodian to the same extent that Secured Party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 xml:space="preserve">(A) Notwithstanding the provisions of applicable law, if no Triggering Event has occurred and is continuing with respect to Secured Party and no Early Termination Date has occurred or been designated as a result of a Triggering Event with respect to Secured Party for which there exist any unsatisfied payment Obligations, then Secured Party shall have the right to sell, pledge, rehypothecate, assign, invest, use, commingle or otherwise use in its business any Cash that it holds as Performance Assurance hereunder, free from any claim or right of any nature whatsoever of Pledging Party, including any equity or right of redemption by Pledging Party; </w:t>
      </w:r>
      <w:r>
        <w:rPr>
          <w:sz w:val="22"/>
          <w:u w:val="single"/>
        </w:rPr>
        <w:t>provided</w:t>
      </w:r>
      <w:r>
        <w:rPr>
          <w:sz w:val="22"/>
        </w:rPr>
        <w:t>, if a Party or its Custodian is not eligible to hold Cash pursuant to this Paragraph 6(a) (such Party shall be the "</w:t>
      </w:r>
      <w:r>
        <w:rPr>
          <w:sz w:val="22"/>
          <w:u w:val="single"/>
        </w:rPr>
        <w:t>Downgraded Party</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Party.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Triggering Event or Potential Triggering Event with respect to Pledging Party shall have occurred and be continuing.  The Downgraded Party shall have no responsibility for any losses resulting from any investment or reinvestment effected in accordance with Pledging Party's instructions.</w:t>
      </w:r>
    </w:p>
    <w:p>
      <w:pPr>
        <w:pStyle w:val="Normal"/>
        <w:spacing w:before="240" w:after="0"/>
        <w:ind w:firstLine="720" w:end="0"/>
        <w:jc w:val="both"/>
        <w:rPr>
          <w:b/>
          <w:bCs/>
          <w:sz w:val="22"/>
        </w:rPr>
      </w:pPr>
      <w:r>
        <w:rPr>
          <w:sz w:val="22"/>
        </w:rPr>
        <w:t>(v) So long as no Triggering Event or Potential Triggering Event with respect to Pledging Party has occurred and is continuing, and no Early Termination Date has occurred or been designated as the result of a Triggering Event with respect to Pledging Party for which there exist any unsatisfied payment Obligations, and to the extent that an obligation to Transfer Performance Assurance would not be created or increased by the Transfer, in the event that Secured Party is holding Cash, Secured Party will Transfer to Pledging Party, in lieu of any interest or other amounts paid or deemed to have been paid with respect to such Cash (all of which may be retained by Secured Party), the Interest Amount.  Pledging Party shall invoice Secured Party monthly setting forth the calculation of the Interest Amount due, and Secured Party shall make payment thereof by the later of the third Business Day of the first month after the last month to which such invoice relates or the third Business Day after the day on which such invoice is received.  On or after the occurrence of a Potential Triggering Event or a Triggering Event with respect to Pledging Party or an Early Termination Date as a result of a Triggering Event with respect to Pledging Party for which there exist are any unsatisfied payment Obligations, Secured Party shall retain any such Interest Amount as additional Performance Assurance hereunder until the obligations of Pledging Party under the Agreement have been satisfied in the case of an Early Termination Date or for so long as such Triggering Event is continuing in the case of a Triggering Event.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Party.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Party's properly documented request to draw on an outstanding Letter of Credit</w:t>
      </w:r>
      <w:r>
        <w:rPr>
          <w:bCs/>
          <w:sz w:val="22"/>
        </w:rPr>
        <w:t>, provide for the benefit of Secured Party either a substitute Letter of Credit that is issued by a bank acceptable to Secured Party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Party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Party agrees to deliver to Secured Party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and continuation of a Triggering Event with respect to Pledging Party, or if an Early Termination Date has occurred or been designated as a result of a Triggering Event with respect to Pledging Party for which there exist any unsatisfied payment Obligations, then </w:t>
      </w:r>
      <w:r>
        <w:rPr>
          <w:sz w:val="22"/>
          <w:szCs w:val="24"/>
        </w:rPr>
        <w:t xml:space="preserve">Secured Party may draw up to the entire, undrawn portion of any outstanding Letter of Credit upon submission to the bank issuing such Letter of Credit of one or more certificates specifying that such Triggering Event or Early Termination Date resulting from such Triggering Event has occurred and is continuing.  Cash proceeds received from drawing upon the Letter of Credit shall be deemed Performance Assurance as security for Pledging Party's Obligations to Secured Party and Secured Party shall have the rights and remedies set forth herein with respect to such Cash proceeds.  </w:t>
      </w:r>
    </w:p>
    <w:p>
      <w:pPr>
        <w:pStyle w:val="Normal"/>
        <w:spacing w:before="240" w:after="0"/>
        <w:ind w:firstLine="720" w:end="0"/>
        <w:jc w:val="both"/>
        <w:rPr>
          <w:sz w:val="22"/>
        </w:rPr>
      </w:pPr>
      <w:r>
        <w:rPr>
          <w:sz w:val="22"/>
          <w:szCs w:val="24"/>
        </w:rPr>
        <w:t>[(v) Upon or at any time after the occurrence of an Early Termination Date occasioned for any reason other than a Triggering Event and the failure of Pledging Party to make all payments due and owing to Secured Party in accordance with the terms of the Agreement, then Secured Party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Party's receipt of Cash under any Letter of Credit, Pledging Party shall remain liable for any failure to Transfer sufficient Performance Assurance or for any amounts owing to Secured Party and remaining unpaid after the application of the amounts so drawn by Secured Party.  </w:t>
      </w:r>
      <w:r>
        <w:rPr>
          <w:sz w:val="22"/>
        </w:rPr>
        <w:t>In all cases, the costs and expenses (including, without limitation, to the reasonable costs, expenses, and attorneys' fees of Secured Party) of establishing, renewing, substituting, canceling, and increasing the amount of a Letter of Credit shall be borne by Pledging Party.</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Except as otherwise provided in Paragraph 6(a)(iii) and beyond the exercise of reasonable care in the custody thereof, Secured Party shall have no duty as to any Performance Assurance in its possession or control or in the possession or control of any Custodian or any income thereon or as to the preservation of rights against prior parties or any other rights pertaining thereto.  Secured Party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Party in good faith except to the extent such loss or damage is the result of such Custodian's willful misconduct or negligence.  Unless held by a Custodian and subject to Paragraph 6(a)(iv), Secured Party shall at all times retain possession or control of any Performance Assurance delivered to it.  The holding of Performance Assurance by a Custodian for the benefit of Secured Party shall be deemed to be the holding and possession of such Performance Assurance by Secured Party for the purpose of perfecting the security interest in the Performance Assurance.  Except as otherwise provided in Paragraph 6(a)(iv), nothing in this Collateral Annex shall be construed as requiring Secured Party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Triggering Event</w:t>
      </w:r>
      <w:r>
        <w:rPr>
          <w:sz w:val="22"/>
        </w:rPr>
        <w:t xml:space="preserve">.  For purposes of Section _________ of the Agreement insofar as same pertains to covenants set forth in this Collateral Annex, a Triggering Event will exist if:  (i) with respect to any required Transfer of Eligible Collateral or Interest Amount, as applicable, the failure to Transfer continues for two Business Days after notice of failure has been given to the applicable Party; (ii) with respect to restrictions set forth in Paragraph 6(a)(iv), the failure to comply continues for five Business Days after notice of failure has been given to the applicable Party; and (iii) with respect to all covenants set forth in this Collateral Annex other than those set forth in the foregoing clauses (i) and (ii), the failure to comply continues for 30 Business Days after notice of failure has been given to the applicable Party.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Triggering Event with respect to Pledging Party has occurred and is continuing, or (ii) an Early Termination Date has occurred or been designated as a result of a Triggering Event with respect to Pledging Party, Secured Party may exercise any one or more of the rights and remedies provided under the Agreement, including, without limitation, this Collateral Annex, or as otherwise available under applicable law.  Without limiting the foregoing, if at any time (i) a Triggering Event with respect to Pledging Party has occurred and is continuing, (ii) or an Early Termination Date has occurred or been designated as a result of a Triggering Event with respect to Pledging Party, then Secured Party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Party;</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Party against and in satisfaction of any amount payable by Pledging Party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Party through one or more public or private sales or other dispositions with such notice, if any, as may be required by applicable law, free from any claim or right of any nature whatsoever of Pledging Party, including any right of equity or redemption by Pledging Party (with Secured Party having the right to purchase any or all of the Performance Assurance to be sold) and to apply the proceeds from the liquidation of such Performance Assurance to and in satisfaction of any amount payable by Pledging Party in respect of any of its Obligations in such order as Secured Party may elect.</w:t>
      </w:r>
    </w:p>
    <w:p>
      <w:pPr>
        <w:pStyle w:val="PASSParawIndent"/>
        <w:rPr>
          <w:rFonts w:ascii="Times New Roman" w:hAnsi="Times New Roman" w:cs="Times New Roman"/>
          <w:sz w:val="22"/>
        </w:rPr>
      </w:pPr>
      <w:r>
        <w:rPr>
          <w:rFonts w:cs="Times New Roman" w:ascii="Times New Roman" w:hAnsi="Times New Roman"/>
          <w:sz w:val="22"/>
        </w:rPr>
        <w:t>(b) Pledging Party hereby irrevocably constitutes and appoints Secured Party and any officer or agent thereof, with full power of substitution, as Pledging Party's true and lawful attorney-in-fact with full irrevocable power and authority to act in the name, place and stead of Pledging Party, or in the name of Secured Party, from time to time its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Party shall be under no obligation to prioritize the order with respect to which it exercises any one or more of its rights and remedies provided under the Agreement, including, without limitation, this Collateral Annex, or as otherwise available under applicable law.  Pledging Party shall in all events remain liable to Secured Party for any amount payable by Pledging Party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Triggering Event with respect to Secured Party has occurred and is continuing or (ii) an Early Termination Date has occurred or been designated as a result of a Triggering Event with respect to Secured Party, then:</w:t>
      </w:r>
    </w:p>
    <w:p>
      <w:pPr>
        <w:pStyle w:val="Normal"/>
        <w:spacing w:before="240" w:after="0"/>
        <w:ind w:start="720" w:end="0"/>
        <w:jc w:val="both"/>
        <w:rPr>
          <w:sz w:val="22"/>
        </w:rPr>
      </w:pPr>
      <w:r>
        <w:rPr>
          <w:sz w:val="22"/>
        </w:rPr>
        <w:t xml:space="preserve">(A) Secured Party will be obligated immediately to Transfer all Performance Assurance, including any Letter of Credit, and the Interest Amount, if any, to Pledging Party, or in respect of any Letter of Credit to the issuer thereof; </w:t>
      </w:r>
    </w:p>
    <w:p>
      <w:pPr>
        <w:pStyle w:val="BodyTextIndent3"/>
        <w:ind w:start="720" w:end="0"/>
        <w:rPr>
          <w:sz w:val="22"/>
        </w:rPr>
      </w:pPr>
      <w:r>
        <w:rPr>
          <w:sz w:val="22"/>
        </w:rPr>
        <w:t>(B) Pledging Party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Party as required in (A) above, setoff amounts payable to Secured Party against the Performance Assurance (other than Letters of Credit) held by Secured Party or to the extent its rights to setoff are not exercised, withhold payment of any remaining amounts payable by Pledging Party, up to the value of any remaining Performance Assurance held by Secured Party, until the Performance Assurance is Transferred to Pledging Party; and (3) exercise rights and remedies available to Pledging Party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Party shall be prohibited from drawing on any Letter of Credit that has been posted by Pledging Party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Party shall dispute the amount of Performance Assurance requested by Secured Party and such dispute relates to the amount of the Net Exposure claimed by Secured Party, then Pledging Party shall </w:t>
      </w:r>
      <w:r>
        <w:rPr>
          <w:bCs/>
          <w:sz w:val="22"/>
        </w:rPr>
        <w:t>(i) notify Secured Party of the existence and nature of the dispute not later than the Notification Time on the first Business Day following the date that the demand for Performance Assurance is made by Secured Party,</w:t>
      </w:r>
      <w:r>
        <w:rPr>
          <w:sz w:val="22"/>
        </w:rPr>
        <w:t xml:space="preserve"> and (ii) provide Performance Assurance to or for the benefit of Secured Party in an amount equal to Pledging Party's own estimate, made in good faith and in a commercially reasonable manner, of its Collateral Requirement. If Secured Party shall dispute the amount of Performance Assurance to be reduced by Secured Party and such dispute relates to the amount of the Net Exposure claimed by Secured Party, then Secured Party shall (i) </w:t>
      </w:r>
      <w:r>
        <w:rPr>
          <w:bCs/>
          <w:sz w:val="22"/>
        </w:rPr>
        <w:t>notify Pledging Party of the existence and nature of the dispute not later than the Notification Time on the first Business Day following the date that the demand to reduce Performance Assurance is made by Pledging Party, and (ii) effect the reduction of Performance Assurance to or for the benefit of Pledging Party in an amount equal to Secured Party's own estimate, made in good faith and in a commercially reasonable manner, of Pledging Party's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Party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Party shall forthwith inform Pledging Party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Party will execute and deliver to Secured Party (and to the extent permitted by applicable law, Pledging Party hereby authorizes Secured Party to execute and deliver, in the name of Pledging Party or otherwise) such financing statements, assignments and other documents and do such other things relating to the Performance Assurance and the security interest granted under this Collateral Annex, including, without limitation, any action Secured Party may deem necessary or appropriate to perfect or maintain perfection of its security interest in the Performance Assurance, and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Party and/or its Custodian under the Agreement, including, without limitation, this Collateral Annex, Pledging Party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Party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Party to Secured Party and/or its  Custodian,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Party shall pay on request and indemnify Secured Party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Pledging Party agrees to pay Secured Party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this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[X]</w:t>
      </w:r>
      <w:r>
        <w:rPr>
          <w:sz w:val="22"/>
        </w:rPr>
        <w:t>:</w:t>
      </w:r>
    </w:p>
    <w:p>
      <w:pPr>
        <w:pStyle w:val="Normal"/>
        <w:jc w:val="both"/>
        <w:rPr>
          <w:sz w:val="22"/>
        </w:rPr>
      </w:pPr>
      <w:r>
        <w:rPr>
          <w:sz w:val="22"/>
        </w:rPr>
      </w:r>
    </w:p>
    <w:p>
      <w:pPr>
        <w:pStyle w:val="Normal"/>
        <w:ind w:start="360" w:end="0"/>
        <w:jc w:val="both"/>
        <w:rPr>
          <w:sz w:val="22"/>
        </w:rPr>
      </w:pPr>
      <w:r>
        <w:rPr>
          <w:sz w:val="22"/>
        </w:rPr>
        <w:t>1.</w:t>
        <w:tab/>
        <w:t>"A Triggering Event (as defined in the Enfolio Master Firm Purchase/Sale Agreement dated as of ________ among ______________, as the same may be amended (the "Master Agreement")) has occurred and is continuing with respect to the Account Party under the Master Agreement and no Triggering Event has occurred and is continuing with respect to the beneficiary of this Letter of Credit.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tabs>
          <w:tab w:val="clear" w:pos="720"/>
          <w:tab w:val="left" w:pos="360" w:leader="none"/>
        </w:tabs>
        <w:ind w:start="360" w:end="0"/>
        <w:jc w:val="both"/>
        <w:rPr/>
      </w:pPr>
      <w:r>
        <w:rPr>
          <w:sz w:val="22"/>
          <w:szCs w:val="24"/>
        </w:rPr>
        <w:t>[2.</w:t>
        <w:tab/>
      </w:r>
      <w:r>
        <w:rPr>
          <w:sz w:val="22"/>
        </w:rPr>
        <w:t>"An Early Termination Date (as defined in the Enfolio Master Firm Purchase/Sale Agreement dated as of ________ among ______________, as the same may be amended (the "Master Agreement")) occasioned by reason other than a Triggering Event (as defined in the Master Agreement) has occurred and the Account Party has failed to make all payments due and owing to beneficiary of this Letter of Credit.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/mnt/main-storage/datasets/enron-docs/doc/NETCO_Gas_Master_Credit_Support_Annex_Version_1.doc</w:t>
    </w:r>
    <w:r>
      <w:rPr>
        <w:rStyle w:val="PageNumber"/>
        <w:sz w:val="12"/>
      </w:rPr>
      <w:fldChar w:fldCharType="end"/>
    </w:r>
  </w:p>
  <w:p>
    <w:pPr>
      <w:pStyle w:val="Footer"/>
      <w:rPr>
        <w:rStyle w:val="PageNumber"/>
        <w:sz w:val="12"/>
      </w:rPr>
    </w:pPr>
    <w:r>
      <w:rPr/>
    </w:r>
    <w:bookmarkStart w:id="1" w:name="DateTime"/>
    <w:bookmarkStart w:id="2" w:name="DateTime"/>
    <w:bookmarkEnd w:id="2"/>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2002-01-10T12:49:00Z</dcterms:created>
  <dc:creator>formosos</dc:creator>
  <dc:description/>
  <dc:language>en-CA</dc:language>
  <cp:lastModifiedBy>cstclai</cp:lastModifiedBy>
  <cp:lastPrinted>2002-01-10T14:38:00Z</cp:lastPrinted>
  <dcterms:modified xsi:type="dcterms:W3CDTF">2002-01-10T18:08:00Z</dcterms:modified>
  <cp:revision>6</cp:revision>
  <dc:subject/>
  <dc:title>COLLATERAL ANNEX</dc:title>
</cp:coreProperties>
</file>