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 xml:space="preserve">COLLATERAL ANNEX </w:t>
      </w:r>
    </w:p>
    <w:p>
      <w:pPr>
        <w:pStyle w:val="Normal"/>
        <w:tabs>
          <w:tab w:val="clear" w:pos="720"/>
          <w:tab w:val="center" w:pos="4680" w:leader="none"/>
        </w:tabs>
        <w:suppressAutoHyphens w:val="true"/>
        <w:jc w:val="center"/>
        <w:rPr>
          <w:b/>
          <w:sz w:val="22"/>
          <w:u w:val="single"/>
        </w:rPr>
      </w:pPr>
      <w:r>
        <w:rPr>
          <w:b/>
          <w:sz w:val="22"/>
          <w:u w:val="single"/>
        </w:rPr>
        <w:t>TO EEI MASTER POWER PURCHASE AND SALE AGREEMENT</w:t>
      </w:r>
    </w:p>
    <w:p>
      <w:pPr>
        <w:pStyle w:val="Normal"/>
        <w:tabs>
          <w:tab w:val="clear" w:pos="720"/>
          <w:tab w:val="left" w:pos="0" w:leader="none"/>
        </w:tabs>
        <w:suppressAutoHyphens w:val="true"/>
        <w:jc w:val="both"/>
        <w:rPr>
          <w:b/>
          <w:sz w:val="24"/>
          <w:u w:val="single"/>
        </w:rPr>
      </w:pPr>
      <w:r>
        <w:rPr>
          <w:b/>
          <w:sz w:val="24"/>
          <w:u w:val="single"/>
        </w:rPr>
      </w:r>
    </w:p>
    <w:p>
      <w:pPr>
        <w:pStyle w:val="Normal"/>
        <w:tabs>
          <w:tab w:val="clear" w:pos="720"/>
          <w:tab w:val="left" w:pos="0" w:leader="none"/>
        </w:tabs>
        <w:suppressAutoHyphens w:val="true"/>
        <w:jc w:val="both"/>
        <w:rPr>
          <w:sz w:val="24"/>
        </w:rPr>
      </w:pPr>
      <w:r>
        <w:rPr>
          <w:sz w:val="24"/>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terms are otherwise defined and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Local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any entity, on any date of determination, the respective ratings then assigned to such entity’s unsecured, senior long-term debt or deposit obligations (not supported by third party credit enhancement) by S&amp;P, Moody’s or other specified rating agency or agencies or if such entity does not have a rating for its unsecured, senior long-term debt or deposit obligations, then the rating assigned to such entity as its “corporate credit rating” by S&amp;P.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Paragraph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means, in respect of a Party holding Cash, the rate specified for such Party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or be continuing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2"/>
        <w:rPr/>
      </w:pPr>
      <w:r>
        <w:rPr>
          <w:bCs/>
          <w:sz w:val="24"/>
        </w:rPr>
        <w:tab/>
        <w:t>“</w:t>
      </w:r>
      <w:r>
        <w:rPr>
          <w:bCs/>
          <w:sz w:val="24"/>
          <w:u w:val="single"/>
        </w:rPr>
        <w:t>Local Business Day</w:t>
      </w:r>
      <w:r>
        <w:rPr>
          <w:bCs/>
          <w:sz w:val="24"/>
        </w:rPr>
        <w:t>” means, a day on which commercial banks are open for business (a) in relation to any payment, in the place where the relevant account is located and (b) in relation to any notice or other communication, in the city specified in the address for notice provided by the recipient.</w:t>
      </w:r>
    </w:p>
    <w:p>
      <w:pPr>
        <w:pStyle w:val="BodyText"/>
        <w:widowControl/>
        <w:ind w:firstLine="720" w:end="0"/>
        <w:rPr>
          <w:rFonts w:ascii="Times New Roman" w:hAnsi="Times New Roman" w:cs="Times New Roman"/>
          <w:bCs/>
          <w:sz w:val="24"/>
        </w:rPr>
      </w:pPr>
      <w:r>
        <w:rPr>
          <w:rFonts w:cs="Times New Roman" w:ascii="Times New Roman" w:hAnsi="Times New Roman"/>
          <w:bCs/>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(i)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(ii)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a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transfer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delivery thereof as specified by the recipient.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specified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bCs/>
          <w:color w:val="000000"/>
          <w:sz w:val="24"/>
        </w:rPr>
      </w:pPr>
      <w:r>
        <w:rPr>
          <w:sz w:val="24"/>
        </w:rPr>
        <w:t xml:space="preserve">(3) the Collateral Value of each Letter of Credit and any other form of Performance Assurance (other than Cash) maintained by the Pledging Party for the benefit of the Secured Party;   </w:t>
      </w:r>
      <w:r>
        <w:rPr>
          <w:sz w:val="24"/>
          <w:u w:val="single"/>
        </w:rPr>
        <w:t>p</w:t>
      </w:r>
      <w:r>
        <w:rPr>
          <w:color w:val="000000"/>
          <w:sz w:val="24"/>
          <w:u w:val="single"/>
        </w:rPr>
        <w:t>rovided, however</w:t>
      </w:r>
      <w:r>
        <w:rPr>
          <w:color w:val="000000"/>
          <w:sz w:val="24"/>
        </w:rPr>
        <w:t xml:space="preserve">, that, the Collateral Requirement of a Party will be deemed to be zero (0) whenever the calculation of such Party’s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w:t>
      </w:r>
      <w:r>
        <w:rPr>
          <w:sz w:val="24"/>
        </w:rPr>
        <w:t xml:space="preserve">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tab/>
      </w:r>
      <w:r>
        <w:rPr>
          <w:sz w:val="24"/>
        </w:rPr>
        <w:t>(a)</w:t>
        <w:tab/>
        <w:t xml:space="preserve">On any Local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 if the Pledging Party’s reduction demand is made on or before the Notification Time on a Business Day, then t</w:t>
      </w:r>
      <w:r>
        <w:rPr>
          <w:sz w:val="24"/>
        </w:rPr>
        <w:t xml:space="preserve">he Secured Party shall have one (1) Local Business Day  to effect a permitted reduction in Performance Assurance and (ii) </w:t>
      </w:r>
      <w:r>
        <w:rPr>
          <w:bCs/>
          <w:sz w:val="24"/>
        </w:rPr>
        <w:t>if the Pledging Party’s reduction demand is made after the Notification Time on a Local Business Day, then t</w:t>
      </w:r>
      <w:r>
        <w:rPr>
          <w:sz w:val="24"/>
        </w:rPr>
        <w:t xml:space="preserve">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promptly take such action as is reasonably necessary to effectuate such reduction.  </w:t>
      </w:r>
    </w:p>
    <w:p>
      <w:pPr>
        <w:pStyle w:val="BodyText3"/>
        <w:rPr>
          <w:sz w:val="24"/>
        </w:rPr>
      </w:pPr>
      <w:r>
        <w:rPr>
          <w:sz w:val="24"/>
        </w:rPr>
      </w:r>
    </w:p>
    <w:p>
      <w:pPr>
        <w:pStyle w:val="BodyText3"/>
        <w:rPr>
          <w:b/>
        </w:rPr>
      </w:pPr>
      <w:r>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Transferred simultaneously or has been Transferred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w:t>
      </w:r>
      <w:r>
        <w:rPr>
          <w:sz w:val="24"/>
          <w:u w:val="single"/>
        </w:rPr>
        <w:t>Custodian</w:t>
      </w:r>
      <w:r>
        <w:rPr>
          <w:sz w:val="24"/>
        </w:rPr>
        <w:t>")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6(a)(ii)(B), with the Party not eligible to hold Cash being considered the "</w:t>
      </w:r>
      <w:r>
        <w:rPr>
          <w:sz w:val="24"/>
          <w:u w:val="single"/>
        </w:rPr>
        <w:t>Downgraded Party</w:t>
      </w:r>
      <w:r>
        <w:rPr>
          <w:sz w:val="24"/>
        </w:rPr>
        <w:t xml:space="preserve">" (as defined below).  Except as set forth in Paragraph 6(c),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sz w:val="24"/>
        </w:rPr>
      </w:pPr>
      <w:r>
        <w:rPr>
          <w:sz w:val="24"/>
        </w:rPr>
        <w:t>(B)   the Downgraded Party shall be required to Transfer (or cause to be Transferred) not later than the close of business on the next Local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execute such account control agreements as are necessary or applicable to perfect the security interest of the Non-Downgraded Party therein pursuant to Section 9-314 of the Uniform Commercial Code or otherwise, and subject to such security interest, for the ownership and benefit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Transfer Performance Assurance would not be created or increased by the Transfer, in the event that the Secured Party or its Custodian is holding Cash, the Secured Party will Transfer (or caused to be Transferred) to the Pledging Party, in lieu of any interest or other amounts paid or deemed to have been paid with respect to such Cash (all of which may be retained by the Secured Party or its Custodian), the Interest Amount.  The Pledging Party shall invoice the Secured Party monthly setting forth the calculation of the Interest Amount due,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or its Custodian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acceptable to the Secured Party or other Eligible Collateral, in each case within one (1) Local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Transfer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w:t>
      </w:r>
      <w:r>
        <w:rPr>
          <w:sz w:val="24"/>
          <w:szCs w:val="24"/>
        </w:rPr>
        <w:t>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Paragraph 7 with respect to such cash proceeds.  Notwithstanding the Secured Party’s receipt of Cash proceeds of a drawing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Transferred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disputes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Local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w:t>
      </w:r>
      <w:r>
        <w:rPr>
          <w:bCs/>
          <w:sz w:val="24"/>
        </w:rPr>
        <w:t xml:space="preserve">If the Parties have not been able to resolve their dispute on or before the second Business Day following the date that the demand is made by the Secured Party, then the Secured Party’s Net Exposure shall be recalculated by each Party requesting quotations from one (1) Reference Market-Maker within two (2) Business Days (taking the arithmetic average of those obtained to obtain the average Current Mark-to-Market Value; </w:t>
      </w:r>
      <w:r>
        <w:rPr>
          <w:bCs/>
          <w:sz w:val="24"/>
          <w:u w:val="single"/>
        </w:rPr>
        <w:t>provided, that</w:t>
      </w:r>
      <w:r>
        <w:rPr>
          <w:bCs/>
          <w:sz w:val="24"/>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Local Business Day in accordance with the results of such recalculation.</w:t>
      </w:r>
    </w:p>
    <w:p>
      <w:pPr>
        <w:pStyle w:val="Normal"/>
        <w:spacing w:before="240" w:after="0"/>
        <w:ind w:firstLine="360" w:end="0"/>
        <w:jc w:val="both"/>
        <w:rPr>
          <w:b/>
          <w:sz w:val="24"/>
        </w:rPr>
      </w:pPr>
      <w:r>
        <w:rPr>
          <w:sz w:val="24"/>
        </w:rPr>
        <w:t xml:space="preserve">(b)  If the Secured Party disputes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w:t>
      </w:r>
      <w:r>
        <w:rPr>
          <w:sz w:val="24"/>
        </w:rPr>
        <w:t xml:space="preserve">.  In all such cases, the Parties thereafter shall promptly consult with each other in order to reconcile the two conflicting amounts.  </w:t>
      </w:r>
      <w:r>
        <w:rPr>
          <w:bCs/>
          <w:sz w:val="24"/>
        </w:rPr>
        <w:t xml:space="preserve">If the Parties have not been able to resolve their dispute on or before the second Local Business Day following the date that the demand is made by the Pledging Party, then the Secured Party’s Net Exposure shall be recalculated by each Party requesting quotations from one (1) Reference Market-Maker within two (2) Business Days (taking the arithmetic average of those obtained to obtain the average Current Mark-to-Market Value; </w:t>
      </w:r>
      <w:r>
        <w:rPr>
          <w:bCs/>
          <w:sz w:val="24"/>
          <w:u w:val="single"/>
        </w:rPr>
        <w:t>provided, that</w:t>
      </w:r>
      <w:r>
        <w:rPr>
          <w:bCs/>
          <w:sz w:val="24"/>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Local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Transfer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ind w:start="720" w:end="0"/>
        <w:jc w:val="both"/>
        <w:rPr>
          <w:sz w:val="24"/>
        </w:rPr>
      </w:pPr>
      <w:r>
        <w:rPr>
          <w:sz w:val="24"/>
        </w:rPr>
        <w:tab/>
      </w:r>
    </w:p>
    <w:p>
      <w:pPr>
        <w:pStyle w:val="Normal"/>
        <w:tabs>
          <w:tab w:val="clear" w:pos="720"/>
          <w:tab w:val="left" w:pos="0" w:leader="none"/>
        </w:tabs>
        <w:suppressAutoHyphens w:val="true"/>
        <w:ind w:start="720" w:end="0"/>
        <w:jc w:val="both"/>
        <w:rPr>
          <w:sz w:val="24"/>
        </w:rPr>
      </w:pPr>
      <w:r>
        <w:rPr>
          <w:sz w:val="24"/>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szCs w:val="24"/>
        </w:rPr>
        <w:t>2.</w:t>
        <w:tab/>
        <w:t xml:space="preserve">“An Early Termination Date </w:t>
      </w:r>
      <w:r>
        <w:rPr>
          <w:sz w:val="24"/>
        </w:rPr>
        <w:t>(as defined in the Master Purchase and Sale Agreement dated as of ________ between beneficiary and Account Party, as the same may be amended (the “Master Agreement”))</w:t>
      </w:r>
      <w:r>
        <w:rPr>
          <w:sz w:val="24"/>
          <w:szCs w:val="24"/>
        </w:rPr>
        <w:t xml:space="preserve">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r>
        <w:rPr>
          <w:sz w:val="24"/>
        </w:rPr>
        <w: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This Letter of Credit shall expire on ________________.</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/mnt/main-storage/datasets/enron-docs/doc/NETCO_EEI_Collateral_Annex_Version_1.doc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8:58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2002-01-11T16:44:00Z</dcterms:created>
  <dc:creator>formosos</dc:creator>
  <dc:description/>
  <dc:language>en-CA</dc:language>
  <cp:lastModifiedBy>leslie hansen</cp:lastModifiedBy>
  <cp:lastPrinted>2002-01-04T09:40:00Z</cp:lastPrinted>
  <dcterms:modified xsi:type="dcterms:W3CDTF">2002-01-11T16:44:00Z</dcterms:modified>
  <cp:revision>2</cp:revision>
  <dc:subject/>
  <dc:title>COLLATERAL ANNEX</dc:title>
</cp:coreProperties>
</file>