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 xml:space="preserve">PARAGRAPH 10 </w:t>
      </w:r>
    </w:p>
    <w:p>
      <w:pPr>
        <w:pStyle w:val="Heading"/>
        <w:spacing w:before="0" w:after="0"/>
        <w:rPr>
          <w:sz w:val="28"/>
        </w:rPr>
      </w:pPr>
      <w:r>
        <w:rPr>
          <w:sz w:val="28"/>
        </w:rPr>
        <w:t>to the</w:t>
      </w:r>
    </w:p>
    <w:p>
      <w:pPr>
        <w:pStyle w:val="Heading"/>
        <w:spacing w:before="0" w:after="0"/>
        <w:rPr>
          <w:sz w:val="28"/>
        </w:rPr>
      </w:pPr>
      <w:r>
        <w:rPr>
          <w:sz w:val="28"/>
        </w:rPr>
        <w:t xml:space="preserve">COLLATERAL ANNEX </w:t>
      </w:r>
    </w:p>
    <w:p>
      <w:pPr>
        <w:pStyle w:val="BodyText"/>
        <w:spacing w:before="0" w:after="0"/>
        <w:jc w:val="center"/>
        <w:rPr>
          <w:b/>
          <w:bCs/>
          <w:sz w:val="28"/>
        </w:rPr>
      </w:pPr>
      <w:r>
        <w:rPr>
          <w:b/>
          <w:bCs/>
          <w:sz w:val="28"/>
        </w:rPr>
        <w:t xml:space="preserve">to the </w:t>
      </w:r>
    </w:p>
    <w:p>
      <w:pPr>
        <w:pStyle w:val="Heading"/>
        <w:spacing w:before="0" w:after="0"/>
        <w:rPr/>
      </w:pPr>
      <w:r>
        <w:rPr>
          <w:bCs/>
          <w:sz w:val="28"/>
        </w:rPr>
        <w:t>EEI MASTER POWER PURCHASE</w:t>
      </w:r>
      <w:r>
        <w:rPr>
          <w:sz w:val="28"/>
        </w:rPr>
        <w:t xml:space="preserve"> AND SALE AGREEMENT</w:t>
      </w:r>
    </w:p>
    <w:p>
      <w:pPr>
        <w:pStyle w:val="Heading"/>
        <w:spacing w:before="0" w:after="0"/>
        <w:rPr>
          <w:sz w:val="28"/>
          <w:u w:val="single"/>
        </w:rPr>
      </w:pPr>
      <w:r>
        <w:rPr>
          <w:sz w:val="28"/>
          <w:u w:val="single"/>
        </w:rPr>
      </w:r>
    </w:p>
    <w:p>
      <w:pPr>
        <w:pStyle w:val="Heading"/>
        <w:spacing w:before="0" w:after="0"/>
        <w:rPr>
          <w:sz w:val="28"/>
          <w:u w:val="single"/>
        </w:rPr>
      </w:pPr>
      <w:r>
        <w:rPr>
          <w:sz w:val="28"/>
          <w:u w:val="single"/>
        </w:rPr>
        <w:t>CREDIT ELECTIONS COVER SHEET</w:t>
      </w:r>
    </w:p>
    <w:p>
      <w:pPr>
        <w:pStyle w:val="coverbody"/>
        <w:spacing w:before="0" w:after="0"/>
        <w:rPr>
          <w:sz w:val="28"/>
          <w:u w:val="single"/>
        </w:rPr>
      </w:pPr>
      <w:r>
        <w:rPr>
          <w:sz w:val="28"/>
          <w:u w:val="single"/>
        </w:rPr>
      </w:r>
    </w:p>
    <w:p>
      <w:pPr>
        <w:pStyle w:val="coverbody"/>
        <w:spacing w:before="0" w:after="0"/>
        <w:rPr/>
      </w:pPr>
      <w:r>
        <w:rPr/>
      </w:r>
    </w:p>
    <w:p>
      <w:pPr>
        <w:pStyle w:val="coverbody"/>
        <w:spacing w:before="0" w:after="0"/>
        <w:rPr/>
      </w:pPr>
      <w:r>
        <w:rPr/>
      </w:r>
    </w:p>
    <w:p>
      <w:pPr>
        <w:pStyle w:val="coverbody"/>
        <w:spacing w:before="0" w:after="0"/>
        <w:jc w:val="start"/>
        <w:rPr>
          <w:b/>
          <w:bCs/>
          <w:sz w:val="24"/>
        </w:rPr>
      </w:pPr>
      <w:r>
        <w:rPr>
          <w:b/>
          <w:bCs/>
          <w:sz w:val="24"/>
        </w:rPr>
        <w:t xml:space="preserve">Paragraph 10.    </w:t>
      </w:r>
      <w:r>
        <w:rPr>
          <w:b/>
          <w:bCs/>
          <w:sz w:val="24"/>
          <w:u w:val="single"/>
        </w:rPr>
        <w:t>Elections and Variables</w:t>
      </w:r>
    </w:p>
    <w:p>
      <w:pPr>
        <w:pStyle w:val="coverbody"/>
        <w:spacing w:before="0" w:after="0"/>
        <w:rPr>
          <w:b/>
          <w:bCs/>
          <w:sz w:val="24"/>
        </w:rPr>
      </w:pPr>
      <w:r>
        <w:rPr>
          <w:b/>
          <w:bCs/>
          <w:sz w:val="24"/>
        </w:rPr>
      </w:r>
    </w:p>
    <w:p>
      <w:pPr>
        <w:pStyle w:val="coverbody"/>
        <w:spacing w:before="0" w:after="0"/>
        <w:rPr/>
      </w:pPr>
      <w:r>
        <w:rPr/>
      </w:r>
    </w:p>
    <w:p>
      <w:pPr>
        <w:pStyle w:val="coverbody"/>
        <w:numPr>
          <w:ilvl w:val="0"/>
          <w:numId w:val="15"/>
        </w:numPr>
        <w:tabs>
          <w:tab w:val="clear" w:pos="720"/>
        </w:tabs>
        <w:spacing w:before="0" w:after="0"/>
        <w:ind w:hanging="0" w:start="0" w:end="0"/>
        <w:rPr>
          <w:b/>
          <w:bCs/>
          <w:u w:val="single"/>
        </w:rPr>
      </w:pPr>
      <w:r>
        <w:rPr>
          <w:b/>
          <w:bCs/>
          <w:u w:val="single"/>
        </w:rPr>
        <w:t>Collateral Threshold.</w:t>
      </w:r>
    </w:p>
    <w:p>
      <w:pPr>
        <w:pStyle w:val="coverbody"/>
        <w:spacing w:before="0" w:after="0"/>
        <w:ind w:start="360" w:end="0"/>
        <w:rPr>
          <w:b/>
          <w:bCs/>
          <w:u w:val="single"/>
        </w:rPr>
      </w:pPr>
      <w:r>
        <w:rPr>
          <w:b/>
          <w:bCs/>
          <w:u w:val="single"/>
        </w:rPr>
      </w:r>
    </w:p>
    <w:p>
      <w:pPr>
        <w:pStyle w:val="coverbody"/>
        <w:numPr>
          <w:ilvl w:val="0"/>
          <w:numId w:val="12"/>
        </w:numPr>
        <w:spacing w:before="0" w:after="0"/>
        <w:rPr>
          <w:b/>
          <w:bCs/>
          <w:u w:val="single"/>
        </w:rPr>
      </w:pPr>
      <w:r>
        <w:rPr>
          <w:b/>
          <w:bCs/>
          <w:u w:val="single"/>
        </w:rPr>
        <w:t>Party A Collateral Threshold.</w:t>
      </w:r>
    </w:p>
    <w:p>
      <w:pPr>
        <w:pStyle w:val="coverbody"/>
        <w:spacing w:before="0" w:after="0"/>
        <w:ind w:start="36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$______________; provided, however, that the Collateral Threshold for Party A shall be zero upon the occurrence and during the continuance of an Event of Default or a Potential Event of Default with respect to Party A.</w:t>
      </w:r>
    </w:p>
    <w:p>
      <w:pPr>
        <w:pStyle w:val="coverbody"/>
        <w:spacing w:before="0" w:after="0"/>
        <w:rPr/>
      </w:pPr>
      <w:r>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sz w:val="20"/>
        </w:rPr>
        <w:t>(a)  The amount set forth below under the heading “Party A Collateral Threshold” opposite the Credit Rating for [Party A] on the relevant date of determination, and if [Party A’s] Credit Ratings shall not be equivalent, the lower Credit Rating shall govern or (b) zero if on the relevant date of determination [Party A] does not have a Credit Rating from the rating agency(ies) specified below or an Event of Default or a Potential Event of Default with respect to Party A has occurred and is continuing:</w:t>
      </w:r>
    </w:p>
    <w:p>
      <w:pPr>
        <w:pStyle w:val="Normal"/>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A</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numPr>
          <w:ilvl w:val="0"/>
          <w:numId w:val="16"/>
        </w:numPr>
        <w:spacing w:before="0" w:after="0"/>
        <w:rPr>
          <w:b/>
          <w:bCs/>
          <w:u w:val="single"/>
        </w:rPr>
      </w:pPr>
      <w:r>
        <w:rPr>
          <w:b/>
          <w:bCs/>
          <w:u w:val="single"/>
        </w:rPr>
        <w:t>Party B Collateral Threshold.</w:t>
      </w:r>
    </w:p>
    <w:p>
      <w:pPr>
        <w:pStyle w:val="coverbody"/>
        <w:spacing w:before="0" w:after="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$______________; provided, however, that the Collateral Threshold for Party B shall be zero upon the occurrence and during the continuance of an Event of Default or a Potential Event of Default with respect to Party B.</w:t>
      </w:r>
    </w:p>
    <w:p>
      <w:pPr>
        <w:pStyle w:val="coverbody"/>
        <w:spacing w:before="0" w:after="0"/>
        <w:rPr/>
      </w:pPr>
      <w:r>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sz w:val="20"/>
        </w:rPr>
        <w:t>(a)  The amount set forth below under the heading “Party B Collateral Threshold” opposite the Credit Rating for [Party B][Party B’s Guarantor] on the relevant date of determination, and if [Party B’s][Party B’s Guarantor’s] Credit Ratings shall not be equivalent, the lower Credit Rating shall govern or (b) zero if on the relevant date of determination [Party B][its Guarantor] does not have a Credit Rating from the rating agency(ies) specified below or an Event of Default or a Potential Event of Default with respect to Party B has occurred and is continuing:</w:t>
      </w:r>
    </w:p>
    <w:p>
      <w:pPr>
        <w:pStyle w:val="Normal"/>
        <w:jc w:val="both"/>
        <w:rPr>
          <w:sz w:val="20"/>
        </w:rPr>
      </w:pPr>
      <w:r>
        <w:rPr>
          <w:sz w:val="20"/>
        </w:rPr>
      </w:r>
    </w:p>
    <w:p>
      <w:pPr>
        <w:pStyle w:val="Normal"/>
        <w:ind w:firstLine="720" w:start="720" w:end="0"/>
        <w:jc w:val="both"/>
        <w:rPr>
          <w:b/>
          <w:bCs/>
          <w:sz w:val="20"/>
          <w:u w:val="single"/>
        </w:rPr>
      </w:pPr>
      <w:r>
        <w:rPr>
          <w:b/>
          <w:bCs/>
          <w:sz w:val="20"/>
          <w:u w:val="single"/>
        </w:rPr>
      </w:r>
    </w:p>
    <w:p>
      <w:pPr>
        <w:pStyle w:val="Normal"/>
        <w:jc w:val="both"/>
        <w:rPr>
          <w:b/>
          <w:bCs/>
          <w:sz w:val="20"/>
          <w:u w:val="single"/>
        </w:rPr>
      </w:pPr>
      <w:r>
        <w:rPr>
          <w:b/>
          <w:bCs/>
          <w:sz w:val="20"/>
          <w:u w:val="single"/>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B</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The amount of the Guaranty Agreement dated _____ from _____, as amended from time to time but in no event shall Party B’s Collateral Threshold be greater than $______.</w:t>
      </w:r>
      <w:r>
        <w:rPr>
          <w:b/>
          <w:bCs/>
        </w:rPr>
        <w:t xml:space="preserve">  </w:t>
      </w:r>
    </w:p>
    <w:p>
      <w:pPr>
        <w:pStyle w:val="coverbody"/>
        <w:spacing w:before="0" w:after="0"/>
        <w:rPr>
          <w:b/>
          <w:bCs/>
        </w:rPr>
      </w:pPr>
      <w:r>
        <w:rPr>
          <w:b/>
          <w:bCs/>
        </w:rPr>
      </w:r>
    </w:p>
    <w:p>
      <w:pPr>
        <w:pStyle w:val="coverbody"/>
        <w:spacing w:before="0" w:after="0"/>
        <w:rPr/>
      </w:pPr>
      <w:r>
        <w:rPr/>
      </w:r>
    </w:p>
    <w:p>
      <w:pPr>
        <w:pStyle w:val="coverbody"/>
        <w:numPr>
          <w:ilvl w:val="0"/>
          <w:numId w:val="15"/>
        </w:numPr>
        <w:tabs>
          <w:tab w:val="clear" w:pos="720"/>
          <w:tab w:val="left" w:pos="0" w:leader="none"/>
        </w:tabs>
        <w:spacing w:before="0" w:after="0"/>
        <w:ind w:hanging="0" w:start="0" w:end="0"/>
        <w:rPr>
          <w:b/>
          <w:bCs/>
        </w:rPr>
      </w:pPr>
      <w:r>
        <w:rPr>
          <w:b/>
          <w:bCs/>
          <w:u w:val="single"/>
        </w:rPr>
        <w:t>Eligible Collateral and Valuation Percentage</w:t>
      </w:r>
      <w:r>
        <w:rPr>
          <w:b/>
          <w:bCs/>
        </w:rPr>
        <w:t>.</w:t>
      </w:r>
    </w:p>
    <w:p>
      <w:pPr>
        <w:pStyle w:val="coverbody"/>
        <w:spacing w:before="0" w:after="0"/>
        <w:rPr>
          <w:b/>
          <w:bCs/>
        </w:rPr>
      </w:pPr>
      <w:r>
        <w:rPr>
          <w:b/>
          <w:bCs/>
        </w:rPr>
      </w:r>
    </w:p>
    <w:p>
      <w:pPr>
        <w:pStyle w:val="Normal"/>
        <w:ind w:firstLine="720" w:end="0"/>
        <w:jc w:val="both"/>
        <w:rPr>
          <w:sz w:val="20"/>
        </w:rPr>
      </w:pPr>
      <w:r>
        <w:rPr>
          <w:sz w:val="20"/>
        </w:rPr>
        <w:t>The following items will qualify as "Eligible Collateral" for the Party specified:</w:t>
      </w:r>
    </w:p>
    <w:p>
      <w:pPr>
        <w:pStyle w:val="Normal"/>
        <w:ind w:firstLine="360" w:end="0"/>
        <w:jc w:val="both"/>
        <w:rPr>
          <w:sz w:val="20"/>
        </w:rPr>
      </w:pPr>
      <w:r>
        <w:rPr>
          <w:sz w:val="20"/>
        </w:rPr>
      </w:r>
    </w:p>
    <w:tbl>
      <w:tblPr>
        <w:tblW w:w="7990" w:type="dxa"/>
        <w:jc w:val="start"/>
        <w:tblInd w:w="2018" w:type="dxa"/>
        <w:tblLayout w:type="fixed"/>
        <w:tblCellMar>
          <w:top w:w="0" w:type="dxa"/>
          <w:start w:w="108" w:type="dxa"/>
          <w:bottom w:w="0" w:type="dxa"/>
          <w:end w:w="108" w:type="dxa"/>
        </w:tblCellMar>
      </w:tblPr>
      <w:tblGrid>
        <w:gridCol w:w="610"/>
        <w:gridCol w:w="1440"/>
        <w:gridCol w:w="990"/>
        <w:gridCol w:w="990"/>
        <w:gridCol w:w="3960"/>
      </w:tblGrid>
      <w:tr>
        <w:trPr>
          <w:trHeight w:val="90" w:hRule="atLeast"/>
        </w:trPr>
        <w:tc>
          <w:tcPr>
            <w:tcW w:w="610" w:type="dxa"/>
            <w:tcBorders/>
          </w:tcPr>
          <w:p>
            <w:pPr>
              <w:pStyle w:val="Normal"/>
              <w:snapToGrid w:val="false"/>
              <w:jc w:val="both"/>
              <w:rPr>
                <w:sz w:val="20"/>
              </w:rPr>
            </w:pPr>
            <w:r>
              <w:rPr>
                <w:sz w:val="20"/>
              </w:rPr>
            </w:r>
          </w:p>
        </w:tc>
        <w:tc>
          <w:tcPr>
            <w:tcW w:w="1440" w:type="dxa"/>
            <w:tcBorders/>
          </w:tcPr>
          <w:p>
            <w:pPr>
              <w:pStyle w:val="Normal"/>
              <w:snapToGrid w:val="false"/>
              <w:jc w:val="both"/>
              <w:rPr>
                <w:sz w:val="20"/>
              </w:rPr>
            </w:pPr>
            <w:r>
              <w:rPr>
                <w:sz w:val="20"/>
              </w:rPr>
            </w:r>
          </w:p>
        </w:tc>
        <w:tc>
          <w:tcPr>
            <w:tcW w:w="990" w:type="dxa"/>
            <w:tcBorders/>
          </w:tcPr>
          <w:p>
            <w:pPr>
              <w:pStyle w:val="Normal"/>
              <w:jc w:val="center"/>
              <w:rPr>
                <w:b/>
                <w:bCs/>
                <w:sz w:val="20"/>
                <w:u w:val="single"/>
              </w:rPr>
            </w:pPr>
            <w:r>
              <w:rPr>
                <w:b/>
                <w:bCs/>
                <w:sz w:val="20"/>
                <w:u w:val="single"/>
              </w:rPr>
              <w:t>Party A</w:t>
            </w:r>
          </w:p>
        </w:tc>
        <w:tc>
          <w:tcPr>
            <w:tcW w:w="990" w:type="dxa"/>
            <w:tcBorders/>
          </w:tcPr>
          <w:p>
            <w:pPr>
              <w:pStyle w:val="Normal"/>
              <w:jc w:val="center"/>
              <w:rPr>
                <w:b/>
                <w:bCs/>
                <w:sz w:val="20"/>
                <w:u w:val="single"/>
              </w:rPr>
            </w:pPr>
            <w:r>
              <w:rPr>
                <w:b/>
                <w:bCs/>
                <w:sz w:val="20"/>
                <w:u w:val="single"/>
              </w:rPr>
              <w:t>Party B</w:t>
            </w:r>
          </w:p>
        </w:tc>
        <w:tc>
          <w:tcPr>
            <w:tcW w:w="3960" w:type="dxa"/>
            <w:tcBorders/>
          </w:tcPr>
          <w:p>
            <w:pPr>
              <w:pStyle w:val="Heading3"/>
              <w:numPr>
                <w:ilvl w:val="0"/>
                <w:numId w:val="0"/>
              </w:numPr>
              <w:spacing w:before="0" w:after="0"/>
              <w:ind w:hanging="0" w:start="720" w:end="0"/>
              <w:jc w:val="center"/>
              <w:rPr>
                <w:b/>
                <w:bCs/>
                <w:sz w:val="20"/>
                <w:u w:val="single"/>
              </w:rPr>
            </w:pPr>
            <w:r>
              <w:rPr>
                <w:b/>
                <w:bCs/>
                <w:sz w:val="20"/>
                <w:u w:val="single"/>
              </w:rPr>
              <w:t>Valuation Percentage</w:t>
            </w:r>
          </w:p>
        </w:tc>
      </w:tr>
      <w:tr>
        <w:trPr/>
        <w:tc>
          <w:tcPr>
            <w:tcW w:w="610" w:type="dxa"/>
            <w:tcBorders/>
          </w:tcPr>
          <w:p>
            <w:pPr>
              <w:pStyle w:val="Normal"/>
              <w:jc w:val="both"/>
              <w:rPr>
                <w:sz w:val="20"/>
              </w:rPr>
            </w:pPr>
            <w:r>
              <w:rPr>
                <w:sz w:val="20"/>
              </w:rPr>
              <w:t>(A)</w:t>
            </w:r>
          </w:p>
        </w:tc>
        <w:tc>
          <w:tcPr>
            <w:tcW w:w="1440" w:type="dxa"/>
            <w:tcBorders/>
          </w:tcPr>
          <w:p>
            <w:pPr>
              <w:pStyle w:val="Normal"/>
              <w:jc w:val="both"/>
              <w:rPr>
                <w:sz w:val="20"/>
              </w:rPr>
            </w:pPr>
            <w:r>
              <w:rPr>
                <w:sz w:val="20"/>
              </w:rPr>
              <w:t>Cash</w:t>
            </w:r>
          </w:p>
          <w:p>
            <w:pPr>
              <w:pStyle w:val="Normal"/>
              <w:jc w:val="both"/>
              <w:rPr>
                <w:sz w:val="20"/>
              </w:rPr>
            </w:pPr>
            <w:r>
              <w:rPr>
                <w:sz w:val="20"/>
              </w:rPr>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100%</w:t>
            </w:r>
          </w:p>
        </w:tc>
      </w:tr>
      <w:tr>
        <w:trPr/>
        <w:tc>
          <w:tcPr>
            <w:tcW w:w="610" w:type="dxa"/>
            <w:tcBorders/>
          </w:tcPr>
          <w:p>
            <w:pPr>
              <w:pStyle w:val="Normal"/>
              <w:jc w:val="both"/>
              <w:rPr>
                <w:sz w:val="20"/>
              </w:rPr>
            </w:pPr>
            <w:r>
              <w:rPr>
                <w:sz w:val="20"/>
              </w:rPr>
              <w:t>(B)</w:t>
            </w:r>
          </w:p>
        </w:tc>
        <w:tc>
          <w:tcPr>
            <w:tcW w:w="144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szCs w:val="24"/>
              </w:rPr>
            </w:pPr>
            <w:r>
              <w:rPr>
                <w:rFonts w:cs="Times New Roman" w:ascii="Times New Roman" w:hAnsi="Times New Roman"/>
                <w:szCs w:val="24"/>
              </w:rPr>
              <w:t>Letters of Credit</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100% unless either (i) a Letter of Credit Default shall have occurred and be continuing with respect to such Letter of Credit, or (ii) twenty (20) or fewer Business Days remain prior to the expiration of such Letter of Credit, in which cases the Valuation Percentage shall be zero (0).</w:t>
            </w:r>
          </w:p>
          <w:p>
            <w:pPr>
              <w:pStyle w:val="Normal"/>
              <w:jc w:val="both"/>
              <w:rPr>
                <w:sz w:val="20"/>
              </w:rPr>
            </w:pPr>
            <w:r>
              <w:rPr>
                <w:sz w:val="20"/>
              </w:rPr>
            </w:r>
          </w:p>
        </w:tc>
      </w:tr>
      <w:tr>
        <w:trPr/>
        <w:tc>
          <w:tcPr>
            <w:tcW w:w="610" w:type="dxa"/>
            <w:tcBorders/>
          </w:tcPr>
          <w:p>
            <w:pPr>
              <w:pStyle w:val="Normal"/>
              <w:jc w:val="both"/>
              <w:rPr>
                <w:sz w:val="20"/>
              </w:rPr>
            </w:pPr>
            <w:r>
              <w:rPr>
                <w:sz w:val="20"/>
              </w:rPr>
              <w:t>(C)</w:t>
            </w:r>
          </w:p>
        </w:tc>
        <w:tc>
          <w:tcPr>
            <w:tcW w:w="1440" w:type="dxa"/>
            <w:tcBorders/>
          </w:tcPr>
          <w:p>
            <w:pPr>
              <w:pStyle w:val="Normal"/>
              <w:jc w:val="both"/>
              <w:rPr>
                <w:sz w:val="20"/>
              </w:rPr>
            </w:pPr>
            <w:r>
              <w:rPr>
                <w:sz w:val="20"/>
              </w:rPr>
              <w:t>Other</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________%</w:t>
            </w:r>
          </w:p>
          <w:p>
            <w:pPr>
              <w:pStyle w:val="Normal"/>
              <w:jc w:val="both"/>
              <w:rPr>
                <w:sz w:val="20"/>
              </w:rPr>
            </w:pPr>
            <w:r>
              <w:rPr>
                <w:sz w:val="20"/>
              </w:rPr>
            </w:r>
          </w:p>
        </w:tc>
      </w:tr>
    </w:tbl>
    <w:p>
      <w:pPr>
        <w:pStyle w:val="coverbody"/>
        <w:spacing w:before="0" w:after="0"/>
        <w:rPr/>
      </w:pPr>
      <w:r>
        <w:rPr/>
      </w:r>
    </w:p>
    <w:p>
      <w:pPr>
        <w:pStyle w:val="coverbody"/>
        <w:numPr>
          <w:ilvl w:val="0"/>
          <w:numId w:val="15"/>
        </w:numPr>
        <w:tabs>
          <w:tab w:val="clear" w:pos="720"/>
          <w:tab w:val="left" w:pos="0" w:leader="none"/>
        </w:tabs>
        <w:spacing w:before="0" w:after="0"/>
        <w:ind w:hanging="0" w:start="0" w:end="0"/>
        <w:jc w:val="start"/>
        <w:rPr>
          <w:b/>
          <w:bCs/>
          <w:u w:val="single"/>
        </w:rPr>
      </w:pPr>
      <w:r>
        <w:rPr>
          <w:b/>
          <w:bCs/>
          <w:u w:val="single"/>
        </w:rPr>
        <w:t>Independent Amount.</w:t>
      </w:r>
    </w:p>
    <w:p>
      <w:pPr>
        <w:pStyle w:val="coverbody"/>
        <w:spacing w:before="0" w:after="0"/>
        <w:rPr>
          <w:b/>
          <w:bCs/>
          <w:u w:val="single"/>
        </w:rPr>
      </w:pPr>
      <w:r>
        <w:rPr>
          <w:b/>
          <w:bCs/>
          <w:u w:val="single"/>
        </w:rPr>
      </w:r>
    </w:p>
    <w:p>
      <w:pPr>
        <w:pStyle w:val="coverbody"/>
        <w:numPr>
          <w:ilvl w:val="0"/>
          <w:numId w:val="14"/>
        </w:numPr>
        <w:spacing w:before="0" w:after="0"/>
        <w:rPr>
          <w:b/>
          <w:bCs/>
          <w:u w:val="single"/>
        </w:rPr>
      </w:pPr>
      <w:r>
        <w:rPr>
          <w:b/>
          <w:bCs/>
          <w:u w:val="single"/>
        </w:rPr>
        <w:t>Party A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A shall have a Fixed Independent Amount of $______________.   If the Fixed Independent Amount option is selected for Party A, then Party A (which shall be a Pledging Party with respect to the Fixed IA Performance Assurance) will be required to Transfer or cause to be Transferred to Party B (which shall be a Secured Party with respect to the Fixed IA Performance Assurance)  Performance Assurance with a Collateral Value equal to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A’s Collateral Requirement pursuant to the Collateral Annex.  Except as expressly set forth above, the Fixed IA Performance Assurance shall be held and maintained in accordance with, and otherwise be subject to,  Paragraphs 2, 5(b), 5(c), 6, 7 and 9 of the Collateral Annex.</w:t>
      </w:r>
    </w:p>
    <w:p>
      <w:pPr>
        <w:pStyle w:val="coverbody"/>
        <w:spacing w:before="0" w:after="0"/>
        <w:ind w:firstLine="720" w:start="720" w:end="0"/>
        <w:rPr/>
      </w:pPr>
      <w:r>
        <w:rPr/>
      </w:r>
    </w:p>
    <w:p>
      <w:pPr>
        <w:pStyle w:val="coverbody"/>
        <w:numPr>
          <w:ilvl w:val="0"/>
          <w:numId w:val="13"/>
        </w:numPr>
        <w:spacing w:before="0" w:after="0"/>
        <w:rPr/>
      </w:pPr>
      <w:r>
        <w:rPr>
          <w:bCs/>
        </w:rPr>
        <w:t>P</w:t>
      </w:r>
      <w:r>
        <w:rPr/>
        <w:t>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by Party B to its Exposure Amount for purposes of determining Net Exposure pursuant to Paragraph 3(a) of the Collateral Annex.</w:t>
      </w:r>
    </w:p>
    <w:p>
      <w:pPr>
        <w:pStyle w:val="coverbody"/>
        <w:spacing w:before="0" w:after="0"/>
        <w:ind w:start="144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A shall have a Partial Floating Independent Amount of $______________.   If the Partial Floating Independent Amount option is selected for Party A, then Party A will be required to Transfer or cause to be Transferred to Party B Performance Assurance with a Collateral Value equal to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not be reduced so long as Party A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and otherwise be subject to, the Collateral Annex.</w:t>
      </w:r>
    </w:p>
    <w:p>
      <w:pPr>
        <w:pStyle w:val="coverbody"/>
        <w:spacing w:before="0" w:after="0"/>
        <w:ind w:hanging="720" w:start="2160" w:end="0"/>
        <w:rPr/>
      </w:pPr>
      <w:r>
        <w:rPr/>
      </w:r>
    </w:p>
    <w:p>
      <w:pPr>
        <w:pStyle w:val="coverbody"/>
        <w:spacing w:before="0" w:after="0"/>
        <w:rPr/>
      </w:pPr>
      <w:r>
        <w:rPr/>
      </w:r>
    </w:p>
    <w:p>
      <w:pPr>
        <w:pStyle w:val="coverbody"/>
        <w:numPr>
          <w:ilvl w:val="0"/>
          <w:numId w:val="17"/>
        </w:numPr>
        <w:spacing w:before="0" w:after="0"/>
        <w:rPr>
          <w:b/>
          <w:bCs/>
          <w:u w:val="single"/>
        </w:rPr>
      </w:pPr>
      <w:r>
        <w:rPr>
          <w:b/>
          <w:bCs/>
          <w:u w:val="single"/>
        </w:rPr>
        <w:t>Party B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B shall have a Fixed Independent Amount of $______________.    If the Fixed Independent Amount Option is selected for Party B, then Party B (which shall be a Pledging Party with respect to the Fixed IA Performance Assurance) will be required to Transfer or cause to be Transferred to Party A (which shall be a Secured Party with respect to the Fixed IA Performance Assurance) Performance Assurance with a Collateral Value equal to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B’s Collateral Requirement pursuant to the Collateral Annex.  Except as expressly set forth above, the Fixed IA Performance Assurance shall be held and maintained in accordance with, and otherwise be subject to,  Paragraphs 2, 5(b), 5(c), 6, 7 and 9 of the Collateral Annex.</w:t>
      </w:r>
    </w:p>
    <w:p>
      <w:pPr>
        <w:pStyle w:val="coverbody"/>
        <w:spacing w:before="0" w:after="0"/>
        <w:ind w:firstLine="720" w:start="720" w:end="0"/>
        <w:rPr/>
      </w:pPr>
      <w:r>
        <w:rPr/>
      </w:r>
    </w:p>
    <w:p>
      <w:pPr>
        <w:pStyle w:val="coverbody"/>
        <w:numPr>
          <w:ilvl w:val="0"/>
          <w:numId w:val="13"/>
        </w:numPr>
        <w:spacing w:before="0" w:after="0"/>
        <w:rPr/>
      </w:pPr>
      <w:r>
        <w:rPr>
          <w:bCs/>
        </w:rPr>
        <w:t>P</w:t>
      </w:r>
      <w:r>
        <w:rPr/>
        <w:t>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by Party A to its Exposure Amount for purposes of determining Net Exposure pursuant to Paragraph 3(a) of the Collateral Annex.</w:t>
      </w:r>
    </w:p>
    <w:p>
      <w:pPr>
        <w:pStyle w:val="coverbody"/>
        <w:spacing w:before="0" w:after="0"/>
        <w:ind w:firstLine="720" w:start="72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B shall have a Partial Floating Independent Amount of $______________.     If the Partial Floating Independent Amount option is selected for Party B, then Party B will be required to Transfer or cause to be Transferred to Party A Performance Assurance with a Collateral Value equal to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not be reduced for so long as Party B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and otherwise be subject to, the Collateral Annex.</w:t>
      </w:r>
    </w:p>
    <w:p>
      <w:pPr>
        <w:pStyle w:val="coverbody"/>
        <w:spacing w:before="0" w:after="0"/>
        <w:rPr>
          <w:b/>
          <w:bCs/>
        </w:rPr>
      </w:pPr>
      <w:r>
        <w:rPr>
          <w:b/>
          <w:bCs/>
        </w:rPr>
      </w:r>
    </w:p>
    <w:p>
      <w:pPr>
        <w:pStyle w:val="coverbody"/>
        <w:spacing w:before="0" w:after="0"/>
        <w:rPr>
          <w:b/>
          <w:bCs/>
        </w:rPr>
      </w:pPr>
      <w:r>
        <w:rPr>
          <w:b/>
          <w:bCs/>
        </w:rPr>
      </w:r>
    </w:p>
    <w:p>
      <w:pPr>
        <w:pStyle w:val="coverbody"/>
        <w:spacing w:before="0" w:after="0"/>
        <w:rPr>
          <w:b/>
          <w:bCs/>
        </w:rPr>
      </w:pPr>
      <w:r>
        <w:rPr>
          <w:b/>
          <w:bCs/>
        </w:rPr>
        <w:t>IV.</w:t>
        <w:tab/>
      </w:r>
      <w:r>
        <w:rPr>
          <w:b/>
          <w:bCs/>
          <w:u w:val="single"/>
        </w:rPr>
        <w:t>Minimum Transfer Amount.</w:t>
      </w:r>
    </w:p>
    <w:p>
      <w:pPr>
        <w:pStyle w:val="coverbody"/>
        <w:spacing w:before="0" w:after="0"/>
        <w:rPr>
          <w:b/>
          <w:bCs/>
        </w:rPr>
      </w:pPr>
      <w:r>
        <w:rPr>
          <w:b/>
          <w:bCs/>
        </w:rPr>
      </w:r>
    </w:p>
    <w:p>
      <w:pPr>
        <w:pStyle w:val="coverbody"/>
        <w:spacing w:before="0" w:after="0"/>
        <w:ind w:firstLine="720" w:end="0"/>
        <w:rPr/>
      </w:pPr>
      <w:r>
        <w:rPr>
          <w:b/>
          <w:bCs/>
        </w:rPr>
        <w:t>A.</w:t>
        <w:tab/>
      </w:r>
      <w:r>
        <w:rPr>
          <w:b/>
          <w:bCs/>
          <w:u w:val="single"/>
        </w:rPr>
        <w:t>Party A Minimum Transfer Amount:</w:t>
      </w:r>
      <w:r>
        <w:rPr/>
        <w:tab/>
        <w:t>$_________________________</w:t>
      </w:r>
    </w:p>
    <w:p>
      <w:pPr>
        <w:pStyle w:val="coverbody"/>
        <w:spacing w:before="0" w:after="0"/>
        <w:rPr/>
      </w:pPr>
      <w:r>
        <w:rPr/>
      </w:r>
    </w:p>
    <w:p>
      <w:pPr>
        <w:pStyle w:val="coverbody"/>
        <w:spacing w:before="0" w:after="0"/>
        <w:ind w:firstLine="720" w:end="0"/>
        <w:rPr/>
      </w:pPr>
      <w:r>
        <w:rPr>
          <w:b/>
          <w:bCs/>
        </w:rPr>
        <w:t>B.</w:t>
        <w:tab/>
      </w:r>
      <w:r>
        <w:rPr>
          <w:b/>
          <w:bCs/>
          <w:u w:val="single"/>
        </w:rPr>
        <w:t>Party B Minimum Transfer Amount:</w:t>
      </w:r>
      <w:r>
        <w:rPr/>
        <w:tab/>
        <w:t>$_________________________</w:t>
      </w:r>
    </w:p>
    <w:p>
      <w:pPr>
        <w:pStyle w:val="coverbody"/>
        <w:spacing w:before="0" w:after="0"/>
        <w:rPr/>
      </w:pPr>
      <w:r>
        <w:rPr/>
      </w:r>
    </w:p>
    <w:p>
      <w:pPr>
        <w:pStyle w:val="coverbody"/>
        <w:spacing w:before="0" w:after="0"/>
        <w:rPr/>
      </w:pPr>
      <w:r>
        <w:rPr/>
      </w:r>
    </w:p>
    <w:p>
      <w:pPr>
        <w:pStyle w:val="coverbody"/>
        <w:spacing w:before="0" w:after="0"/>
        <w:rPr>
          <w:b/>
          <w:bCs/>
        </w:rPr>
      </w:pPr>
      <w:r>
        <w:rPr>
          <w:b/>
          <w:bCs/>
        </w:rPr>
        <w:t>V.</w:t>
        <w:tab/>
      </w:r>
      <w:r>
        <w:rPr>
          <w:b/>
          <w:bCs/>
          <w:u w:val="single"/>
        </w:rPr>
        <w:t>Rounding Amount.</w:t>
      </w:r>
    </w:p>
    <w:p>
      <w:pPr>
        <w:pStyle w:val="coverbody"/>
        <w:spacing w:before="0" w:after="0"/>
        <w:rPr>
          <w:b/>
          <w:bCs/>
        </w:rPr>
      </w:pPr>
      <w:r>
        <w:rPr>
          <w:b/>
          <w:bCs/>
        </w:rPr>
      </w:r>
    </w:p>
    <w:p>
      <w:pPr>
        <w:pStyle w:val="coverbody"/>
        <w:spacing w:before="0" w:after="0"/>
        <w:ind w:start="720" w:end="0"/>
        <w:rPr/>
      </w:pPr>
      <w:r>
        <w:rPr>
          <w:b/>
          <w:bCs/>
        </w:rPr>
        <w:t>A.</w:t>
        <w:tab/>
      </w:r>
      <w:r>
        <w:rPr>
          <w:b/>
          <w:bCs/>
          <w:u w:val="single"/>
        </w:rPr>
        <w:t>Party A Rounding Amount:</w:t>
      </w:r>
      <w:r>
        <w:rPr/>
        <w:tab/>
        <w:t>[$ 100,000]</w:t>
      </w:r>
    </w:p>
    <w:p>
      <w:pPr>
        <w:pStyle w:val="coverbody"/>
        <w:spacing w:before="0" w:after="0"/>
        <w:rPr/>
      </w:pPr>
      <w:r>
        <w:rPr/>
      </w:r>
    </w:p>
    <w:p>
      <w:pPr>
        <w:pStyle w:val="coverbody"/>
        <w:spacing w:before="0" w:after="0"/>
        <w:ind w:firstLine="720" w:end="0"/>
        <w:rPr/>
      </w:pPr>
      <w:r>
        <w:rPr>
          <w:b/>
          <w:bCs/>
        </w:rPr>
        <w:t>B.</w:t>
        <w:tab/>
      </w:r>
      <w:r>
        <w:rPr>
          <w:b/>
          <w:bCs/>
          <w:u w:val="single"/>
        </w:rPr>
        <w:t>Party B Rounding Amount:</w:t>
      </w:r>
      <w:r>
        <w:rPr/>
        <w:tab/>
        <w:t>[$ 100,000]</w:t>
      </w:r>
    </w:p>
    <w:p>
      <w:pPr>
        <w:pStyle w:val="coverbody"/>
        <w:spacing w:before="0" w:after="0"/>
        <w:rPr/>
      </w:pPr>
      <w:r>
        <w:rPr/>
      </w:r>
    </w:p>
    <w:p>
      <w:pPr>
        <w:pStyle w:val="coverbody"/>
        <w:spacing w:before="0" w:after="0"/>
        <w:rPr/>
      </w:pPr>
      <w:r>
        <w:rPr/>
      </w:r>
    </w:p>
    <w:p>
      <w:pPr>
        <w:pStyle w:val="coverbody"/>
        <w:spacing w:before="0" w:after="0"/>
        <w:rPr>
          <w:b/>
          <w:bCs/>
        </w:rPr>
      </w:pPr>
      <w:r>
        <w:rPr>
          <w:b/>
          <w:bCs/>
        </w:rPr>
        <w:t>VI.</w:t>
        <w:tab/>
      </w:r>
      <w:r>
        <w:rPr>
          <w:b/>
          <w:bCs/>
          <w:u w:val="single"/>
        </w:rPr>
        <w:t>Administration of Custodial Collateral.</w:t>
      </w:r>
    </w:p>
    <w:p>
      <w:pPr>
        <w:pStyle w:val="coverbody"/>
        <w:spacing w:before="0" w:after="0"/>
        <w:rPr>
          <w:b/>
          <w:bCs/>
        </w:rPr>
      </w:pPr>
      <w:r>
        <w:rPr>
          <w:b/>
          <w:bCs/>
        </w:rPr>
      </w:r>
    </w:p>
    <w:p>
      <w:pPr>
        <w:pStyle w:val="coverbody"/>
        <w:spacing w:before="0" w:after="0"/>
        <w:rPr>
          <w:b/>
          <w:bCs/>
        </w:rPr>
      </w:pPr>
      <w:r>
        <w:rPr>
          <w:b/>
          <w:bCs/>
        </w:rPr>
        <w:tab/>
        <w:t>A.</w:t>
        <w:tab/>
      </w:r>
      <w:r>
        <w:rPr>
          <w:b/>
          <w:bCs/>
          <w:u w:val="single"/>
        </w:rPr>
        <w:t>Party A Eligibility to Hold Custodial Collateral.</w:t>
      </w:r>
    </w:p>
    <w:p>
      <w:pPr>
        <w:pStyle w:val="coverbody"/>
        <w:spacing w:before="0" w:after="0"/>
        <w:rPr>
          <w:b/>
          <w:bCs/>
        </w:rPr>
      </w:pPr>
      <w:r>
        <w:rPr>
          <w:b/>
          <w:bCs/>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bCs/>
          <w:sz w:val="20"/>
        </w:rPr>
        <w:t xml:space="preserve">Party A shall be entitled to hold Performance Assurance in the form of Custodial Collateral </w:t>
      </w:r>
      <w:r>
        <w:rPr>
          <w:sz w:val="20"/>
        </w:rPr>
        <w:t>provided that the following conditions are satisfied:  (1) it is not a Defaulting Party, (2), [Party A]  has a Credit Rating from ______ and the lowest Credit Rating for [Party A] is ___________ or higher from ___________; (3) Custodial Collateral shall be held only in any jurisdiction within the United States; and (4) [</w:t>
      </w:r>
      <w:r>
        <w:rPr>
          <w:sz w:val="20"/>
          <w:u w:val="single"/>
        </w:rPr>
        <w:t>other, if any</w:t>
      </w:r>
      <w:r>
        <w:rPr>
          <w:sz w:val="20"/>
        </w:rPr>
        <w:t>].    To the extent Party A is entitled to hold Cash, the Interest Rate payable to Party B on Cash shall be as selected below:</w:t>
      </w:r>
    </w:p>
    <w:p>
      <w:pPr>
        <w:pStyle w:val="coverbody"/>
        <w:spacing w:before="0" w:after="0"/>
        <w:rPr>
          <w:bCs/>
          <w:sz w:val="20"/>
        </w:rPr>
      </w:pPr>
      <w:r>
        <w:rPr>
          <w:bCs/>
          <w:sz w:val="20"/>
        </w:rPr>
      </w:r>
    </w:p>
    <w:p>
      <w:pPr>
        <w:pStyle w:val="coverbody"/>
        <w:spacing w:before="0" w:after="0"/>
        <w:ind w:firstLine="720" w:start="2160" w:end="0"/>
        <w:rPr>
          <w:b/>
          <w:bCs/>
        </w:rPr>
      </w:pPr>
      <w:r>
        <w:rPr>
          <w:b/>
          <w:bCs/>
          <w:u w:val="single"/>
        </w:rPr>
        <w:t>Party A Interest Rate.</w:t>
      </w:r>
    </w:p>
    <w:p>
      <w:pPr>
        <w:pStyle w:val="Normal"/>
        <w:jc w:val="both"/>
        <w:rPr>
          <w:b/>
          <w:bCs/>
          <w:sz w:val="20"/>
        </w:rPr>
      </w:pPr>
      <w:r>
        <w:rPr>
          <w:b/>
          <w:bCs/>
          <w:sz w:val="20"/>
        </w:rPr>
      </w:r>
    </w:p>
    <w:p>
      <w:pPr>
        <w:pStyle w:val="Normal"/>
        <w:ind w:hanging="720" w:start="3600" w:end="0"/>
        <w:jc w:val="both"/>
        <w:rPr/>
      </w:pPr>
      <w:r>
        <w:rPr>
          <w:rFonts w:eastAsia="Wingdings 2" w:cs="Wingdings 2" w:ascii="Wingdings 2" w:hAnsi="Wingdings 2"/>
          <w:b/>
          <w:bCs/>
          <w:sz w:val="20"/>
        </w:rPr>
        <w:sym w:font="Wingdings 2" w:char="f02a"/>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bCs/>
        </w:rPr>
      </w:pPr>
      <w:r>
        <w:rPr>
          <w:b/>
          <w:bCs/>
        </w:rPr>
      </w:r>
    </w:p>
    <w:p>
      <w:pPr>
        <w:pStyle w:val="coverbody"/>
        <w:spacing w:before="0" w:after="0"/>
        <w:ind w:firstLine="720" w:end="0"/>
        <w:rPr>
          <w:b/>
          <w:bCs/>
        </w:rPr>
      </w:pPr>
      <w:r>
        <w:rPr>
          <w:b/>
          <w:bCs/>
        </w:rPr>
        <w:t>B.</w:t>
        <w:tab/>
      </w:r>
      <w:r>
        <w:rPr>
          <w:b/>
          <w:bCs/>
          <w:u w:val="single"/>
        </w:rPr>
        <w:t>Party B Eligibility to Hold Custodial Collateral.</w:t>
      </w:r>
    </w:p>
    <w:p>
      <w:pPr>
        <w:pStyle w:val="coverbody"/>
        <w:spacing w:before="0" w:after="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Party B shall not be entitled to hold Performance Assurance in the form of Custodial Collateral.  Performance Assurance in the form of Custodial Collateral shall be held in a Qualified Institution in accordance with the provisions of Paragraph 6(a)(ii)(B) of the Collateral Annex.  Party B shall pay to Party A in accordance with the terms of the Collateral Annex the amount of interest and/or distributions it receives from the Qualified Institution on any Performance Assurance in the form of Custodial Collateral posted by Party A.</w:t>
      </w:r>
    </w:p>
    <w:p>
      <w:pPr>
        <w:pStyle w:val="coverbody"/>
        <w:spacing w:before="0" w:after="0"/>
        <w:ind w:start="1440" w:end="0"/>
        <w:rPr>
          <w:bCs/>
        </w:rPr>
      </w:pPr>
      <w:r>
        <w:rPr>
          <w:bCs/>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bCs/>
          <w:sz w:val="20"/>
        </w:rPr>
        <w:t xml:space="preserve">Party B shall be entitled to hold Performance Assurance in the form of Custodial Collateral </w:t>
      </w:r>
      <w:r>
        <w:rPr>
          <w:sz w:val="20"/>
        </w:rPr>
        <w:t>provided that the following conditions are satisfied:  (1) it is not a Defaulting Party, (2), [Party B] [Party B’s Guarantor] has a Credit Rating from ______ and the lowest Credit Rating for [Party B] [Party B’s Guarantor] is ___________ or higher from ___________; (3) Custodial Collateral shall be held only in any jurisdiction within the United States; and (4) [</w:t>
      </w:r>
      <w:r>
        <w:rPr>
          <w:sz w:val="20"/>
          <w:u w:val="single"/>
        </w:rPr>
        <w:t>other, if any</w:t>
      </w:r>
      <w:r>
        <w:rPr>
          <w:sz w:val="20"/>
        </w:rPr>
        <w:t>].    To the extent Party B is entitled to hold Cash, the Interest Rate payable to Party A on Cash shall be as selected below:</w:t>
      </w:r>
    </w:p>
    <w:p>
      <w:pPr>
        <w:pStyle w:val="Normal"/>
        <w:ind w:hanging="720" w:start="2880" w:end="0"/>
        <w:jc w:val="both"/>
        <w:rPr>
          <w:sz w:val="20"/>
        </w:rPr>
      </w:pPr>
      <w:r>
        <w:rPr>
          <w:sz w:val="20"/>
        </w:rPr>
      </w:r>
    </w:p>
    <w:p>
      <w:pPr>
        <w:pStyle w:val="coverbody"/>
        <w:spacing w:before="0" w:after="0"/>
        <w:ind w:firstLine="720" w:start="2160" w:end="0"/>
        <w:rPr>
          <w:b/>
          <w:bCs/>
        </w:rPr>
      </w:pPr>
      <w:r>
        <w:rPr>
          <w:b/>
          <w:bCs/>
          <w:u w:val="single"/>
        </w:rPr>
        <w:t>Party B Interest Rate.</w:t>
      </w:r>
    </w:p>
    <w:p>
      <w:pPr>
        <w:pStyle w:val="coverbody"/>
        <w:spacing w:before="0" w:after="0"/>
        <w:rPr>
          <w:b/>
          <w:bCs/>
        </w:rPr>
      </w:pPr>
      <w:r>
        <w:rPr>
          <w:b/>
          <w:bCs/>
        </w:rPr>
      </w:r>
    </w:p>
    <w:p>
      <w:pPr>
        <w:pStyle w:val="Normal"/>
        <w:ind w:hanging="720" w:start="3600" w:end="0"/>
        <w:jc w:val="both"/>
        <w:rPr/>
      </w:pPr>
      <w:r>
        <w:rPr>
          <w:rFonts w:eastAsia="Wingdings 2" w:cs="Wingdings 2" w:ascii="Wingdings 2" w:hAnsi="Wingdings 2"/>
          <w:b/>
          <w:bCs/>
          <w:sz w:val="20"/>
        </w:rPr>
        <w:sym w:font="Wingdings 2" w:char="f02a"/>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w:t>
        <w:tab/>
      </w:r>
      <w:r>
        <w:rPr>
          <w:b/>
          <w:u w:val="single"/>
        </w:rPr>
        <w:t>Notification Time.</w:t>
      </w:r>
    </w:p>
    <w:p>
      <w:pPr>
        <w:pStyle w:val="coverbody"/>
        <w:spacing w:before="0" w:after="0"/>
        <w:rPr>
          <w:b/>
          <w:bCs/>
        </w:rPr>
      </w:pPr>
      <w:r>
        <w:rPr>
          <w:b/>
          <w:bCs/>
        </w:rPr>
      </w:r>
    </w:p>
    <w:p>
      <w:pPr>
        <w:pStyle w:val="coverbody"/>
        <w:spacing w:before="0" w:after="0"/>
        <w:ind w:firstLine="72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VIII.</w:t>
        <w:tab/>
      </w:r>
      <w:r>
        <w:rPr>
          <w:b/>
          <w:u w:val="single"/>
        </w:rPr>
        <w:t>General.</w:t>
      </w:r>
    </w:p>
    <w:p>
      <w:pPr>
        <w:pStyle w:val="coverbody"/>
        <w:spacing w:before="0" w:after="0"/>
        <w:rPr>
          <w:b/>
        </w:rPr>
      </w:pPr>
      <w:r>
        <w:rPr>
          <w:b/>
        </w:rPr>
      </w:r>
    </w:p>
    <w:p>
      <w:pPr>
        <w:pStyle w:val="coverbody"/>
        <w:spacing w:before="0" w:after="0"/>
        <w:ind w:start="720" w:end="0"/>
        <w:rPr>
          <w:b/>
        </w:rPr>
      </w:pPr>
      <w:r>
        <w:rPr>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Custodial Collateral” section of this Paragraph 10, if no selection is made with respect to a Party, then such Party shall not be entitled to hold Performance Assurance in the form of Custodial Collateral and such Custodial Collateral,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spacing w:before="0" w:after="0"/>
        <w:rPr>
          <w:b/>
        </w:rPr>
      </w:pPr>
      <w:r>
        <w:rPr>
          <w:b/>
        </w:rPr>
      </w:r>
    </w:p>
    <w:sectPr>
      <w:footerReference w:type="default" r:id="rId2"/>
      <w:type w:val="nextPage"/>
      <w:pgSz w:w="12240" w:h="15840"/>
      <w:pgMar w:left="1296"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2">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/mnt/main-storage/datasets/enron-docs/doc/NETCO_EEI_Collateral_Annex_Cover_Sheet_Version_2.doc</w:t>
    </w:r>
    <w:r>
      <w:rPr>
        <w:rStyle w:val="PageNumber"/>
        <w:sz w:val="16"/>
      </w:rPr>
      <w:fldChar w:fldCharType="end"/>
    </w:r>
  </w:p>
  <w:p>
    <w:pPr>
      <w:pStyle w:val="Footer"/>
      <w:jc w:val="center"/>
      <w:rPr/>
    </w:pPr>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1440"/>
        </w:tabs>
        <w:ind w:start="1440" w:hanging="720"/>
      </w:pPr>
      <w:rPr/>
    </w:lvl>
  </w:abstractNum>
  <w:abstractNum w:abstractNumId="13">
    <w:lvl w:ilvl="0">
      <w:start w:val="1"/>
      <w:numFmt w:val="bullet"/>
      <w:lvlText w:val=""/>
      <w:lvlJc w:val="start"/>
      <w:pPr>
        <w:tabs>
          <w:tab w:val="num" w:pos="2160"/>
        </w:tabs>
        <w:ind w:start="2160" w:hanging="720"/>
      </w:pPr>
      <w:rPr>
        <w:rFonts w:ascii="Wingdings 2" w:hAnsi="Wingdings 2" w:cs="Wingdings 2" w:hint="default"/>
        <w:b/>
      </w:rPr>
    </w:lvl>
  </w:abstractNum>
  <w:abstractNum w:abstractNumId="14">
    <w:lvl w:ilvl="0">
      <w:start w:val="1"/>
      <w:numFmt w:val="upperLetter"/>
      <w:lvlText w:val="%1."/>
      <w:lvlJc w:val="start"/>
      <w:pPr>
        <w:tabs>
          <w:tab w:val="num" w:pos="1440"/>
        </w:tabs>
        <w:ind w:start="1440" w:hanging="720"/>
      </w:pPr>
      <w:rPr>
        <w:i w:val="false"/>
        <w:u w:val="none"/>
        <w:b/>
      </w:rPr>
    </w:lvl>
  </w:abstractNum>
  <w:abstractNum w:abstractNumId="15">
    <w:lvl w:ilvl="0">
      <w:start w:val="1"/>
      <w:numFmt w:val="upperRoman"/>
      <w:lvlText w:val="%1."/>
      <w:lvlJc w:val="start"/>
      <w:pPr>
        <w:tabs>
          <w:tab w:val="num" w:pos="1440"/>
        </w:tabs>
        <w:ind w:start="1440" w:hanging="720"/>
      </w:pPr>
      <w:rPr>
        <w:i w:val="false"/>
        <w:b/>
      </w:rPr>
    </w:lvl>
  </w:abstractNum>
  <w:abstractNum w:abstractNumId="16">
    <w:lvl w:ilvl="0">
      <w:start w:val="2"/>
      <w:numFmt w:val="upperLetter"/>
      <w:lvlText w:val="%1."/>
      <w:lvlJc w:val="start"/>
      <w:pPr>
        <w:tabs>
          <w:tab w:val="num" w:pos="1440"/>
        </w:tabs>
        <w:ind w:start="1440" w:hanging="720"/>
      </w:pPr>
      <w:rPr/>
    </w:lvl>
  </w:abstractNum>
  <w:abstractNum w:abstractNumId="17">
    <w:lvl w:ilvl="0">
      <w:start w:val="2"/>
      <w:numFmt w:val="upperLetter"/>
      <w:lvlText w:val="%1."/>
      <w:lvlJc w:val="start"/>
      <w:pPr>
        <w:tabs>
          <w:tab w:val="num" w:pos="1440"/>
        </w:tabs>
        <w:ind w:start="144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widowControl w:val="false"/>
      <w:spacing w:before="240" w:after="60"/>
      <w:outlineLvl w:val="7"/>
    </w:pPr>
    <w:rPr>
      <w:rFonts w:ascii="Arial" w:hAnsi="Arial" w:cs="Arial"/>
      <w:i/>
      <w:sz w:val="20"/>
      <w:szCs w:val="20"/>
    </w:rPr>
  </w:style>
  <w:style w:type="paragraph" w:styleId="Heading9">
    <w:name w:val="heading 9"/>
    <w:basedOn w:val="Normal"/>
    <w:next w:val="Normal"/>
    <w:qFormat/>
    <w:pPr>
      <w:widowControl w:val="false"/>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z w:val="20"/>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rFonts w:ascii="Wingdings 2" w:hAnsi="Wingdings 2"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b/>
      <w:sz w:val="22"/>
    </w:rPr>
  </w:style>
  <w:style w:type="character" w:styleId="WW8Num20z0">
    <w:name w:val="WW8Num20z0"/>
    <w:qFormat/>
    <w:rPr>
      <w:rFonts w:ascii="Wingdings 2" w:hAnsi="Wingdings 2" w:eastAsia="Times New Roman" w:cs="Times New Roman"/>
      <w:b/>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ascii="Wingdings 2" w:hAnsi="Wingdings 2" w:eastAsia="Times New Roman" w:cs="Times New Roman"/>
      <w:b/>
      <w:sz w:val="3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b w:val="false"/>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rFonts w:ascii="Wingdings 2" w:hAnsi="Wingdings 2" w:eastAsia="Times New Roman" w:cs="Times New Roman"/>
      <w:b/>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29z1">
    <w:name w:val="WW8Num29z1"/>
    <w:qFormat/>
    <w:rPr>
      <w:rFonts w:ascii="Times New Roman" w:hAnsi="Times New Roman" w:cs="Times New Roman"/>
      <w:b w:val="false"/>
      <w:i w:val="false"/>
      <w:sz w:val="24"/>
      <w:u w:val="none"/>
    </w:rPr>
  </w:style>
  <w:style w:type="character" w:styleId="WW8Num29z2">
    <w:name w:val="WW8Num29z2"/>
    <w:qFormat/>
    <w:rPr>
      <w:rFonts w:ascii="Times New Roman" w:hAnsi="Times New Roman" w:cs="Times New Roman"/>
      <w:b w:val="false"/>
      <w:i w:val="false"/>
      <w:sz w:val="24"/>
    </w:rPr>
  </w:style>
  <w:style w:type="character" w:styleId="WW8Num29z5">
    <w:name w:val="WW8Num29z5"/>
    <w:qFormat/>
    <w:rPr>
      <w:rFonts w:ascii="Times New Roman" w:hAnsi="Times New Roman" w:cs="Times New Roman"/>
      <w:b/>
      <w:i w:val="false"/>
      <w:sz w:val="24"/>
      <w:u w:val="none"/>
    </w:rPr>
  </w:style>
  <w:style w:type="character" w:styleId="WW8Num30z0">
    <w:name w:val="WW8Num30z0"/>
    <w:qFormat/>
    <w:rPr>
      <w:rFonts w:ascii="Wingdings 2" w:hAnsi="Wingdings 2" w:eastAsia="Times New Roman" w:cs="Times New Roman"/>
      <w:b/>
      <w:sz w:val="32"/>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3z0">
    <w:name w:val="WW8Num33z0"/>
    <w:qFormat/>
    <w:rPr>
      <w:b/>
    </w:rPr>
  </w:style>
  <w:style w:type="character" w:styleId="WW8Num34z0">
    <w:name w:val="WW8Num34z0"/>
    <w:qFormat/>
    <w:rPr>
      <w:b/>
      <w:i w:val="false"/>
      <w:u w:val="none"/>
    </w:rPr>
  </w:style>
  <w:style w:type="character" w:styleId="WW8Num35z0">
    <w:name w:val="WW8Num35z0"/>
    <w:qFormat/>
    <w:rPr/>
  </w:style>
  <w:style w:type="character" w:styleId="WW8Num36z0">
    <w:name w:val="WW8Num36z0"/>
    <w:qFormat/>
    <w:rPr>
      <w:b w:val="false"/>
      <w:i w:val="false"/>
    </w:rPr>
  </w:style>
  <w:style w:type="character" w:styleId="WW8Num37z0">
    <w:name w:val="WW8Num37z0"/>
    <w:qFormat/>
    <w:rPr/>
  </w:style>
  <w:style w:type="character" w:styleId="WW8Num38z0">
    <w:name w:val="WW8Num38z0"/>
    <w:qFormat/>
    <w:rPr>
      <w:b/>
      <w:i w:val="false"/>
    </w:rPr>
  </w:style>
  <w:style w:type="character" w:styleId="WW8Num38z1">
    <w:name w:val="WW8Num38z1"/>
    <w:qFormat/>
    <w:rPr/>
  </w:style>
  <w:style w:type="character" w:styleId="WW8Num40z0">
    <w:name w:val="WW8Num40z0"/>
    <w:qFormat/>
    <w:rPr/>
  </w:style>
  <w:style w:type="character" w:styleId="WW8Num43z0">
    <w:name w:val="WW8Num43z0"/>
    <w:qFormat/>
    <w:rPr/>
  </w:style>
  <w:style w:type="character" w:styleId="WW8Num44z0">
    <w:name w:val="WW8Num44z0"/>
    <w:qFormat/>
    <w:rPr/>
  </w:style>
  <w:style w:type="character" w:styleId="WW8Num44z1">
    <w:name w:val="WW8Num44z1"/>
    <w:qFormat/>
    <w:rPr>
      <w:rFonts w:ascii="Times New Roman" w:hAnsi="Times New Roman" w:cs="Times New Roman"/>
      <w:b w:val="false"/>
      <w:i w:val="false"/>
      <w:sz w:val="24"/>
      <w:u w:val="none"/>
    </w:rPr>
  </w:style>
  <w:style w:type="character" w:styleId="WW8Num44z2">
    <w:name w:val="WW8Num44z2"/>
    <w:qFormat/>
    <w:rPr>
      <w:rFonts w:ascii="Times New Roman" w:hAnsi="Times New Roman" w:cs="Times New Roman"/>
      <w:b w:val="false"/>
      <w:i w:val="false"/>
      <w:sz w:val="24"/>
    </w:rPr>
  </w:style>
  <w:style w:type="character" w:styleId="WW8Num44z5">
    <w:name w:val="WW8Num44z5"/>
    <w:qFormat/>
    <w:rPr>
      <w:rFonts w:ascii="Times New Roman" w:hAnsi="Times New Roman" w:cs="Times New Roman"/>
      <w:b/>
      <w:i w:val="false"/>
      <w:sz w:val="24"/>
      <w:u w:val="none"/>
    </w:rPr>
  </w:style>
  <w:style w:type="character" w:styleId="WW8Num45z0">
    <w:name w:val="WW8Num45z0"/>
    <w:qFormat/>
    <w:rPr/>
  </w:style>
  <w:style w:type="character" w:styleId="WW8Num46z0">
    <w:name w:val="WW8Num46z0"/>
    <w:qFormat/>
    <w:rPr>
      <w:rFonts w:ascii="Times New Roman" w:hAnsi="Times New Roman" w:cs="Times New Roman"/>
      <w:b/>
      <w:i w:val="false"/>
      <w:caps/>
      <w:sz w:val="24"/>
    </w:rPr>
  </w:style>
  <w:style w:type="character" w:styleId="WW8Num46z1">
    <w:name w:val="WW8Num46z1"/>
    <w:qFormat/>
    <w:rPr>
      <w:rFonts w:ascii="Times New Roman" w:hAnsi="Times New Roman" w:cs="Times New Roman"/>
      <w:b w:val="false"/>
      <w:i w:val="false"/>
      <w:sz w:val="24"/>
      <w:u w:val="none"/>
    </w:rPr>
  </w:style>
  <w:style w:type="character" w:styleId="WW8Num46z2">
    <w:name w:val="WW8Num46z2"/>
    <w:qFormat/>
    <w:rPr>
      <w:rFonts w:ascii="Times New Roman" w:hAnsi="Times New Roman" w:cs="Times New Roman"/>
      <w:b w:val="false"/>
      <w:i w:val="false"/>
      <w:sz w:val="24"/>
    </w:rPr>
  </w:style>
  <w:style w:type="character" w:styleId="WW8Num46z5">
    <w:name w:val="WW8Num46z5"/>
    <w:qFormat/>
    <w:rPr>
      <w:rFonts w:ascii="Times New Roman" w:hAnsi="Times New Roman" w:cs="Times New Roman"/>
      <w:b/>
      <w:i w:val="false"/>
      <w:sz w:val="24"/>
      <w:u w:val="none"/>
    </w:rPr>
  </w:style>
  <w:style w:type="character" w:styleId="WW8Num47z0">
    <w:name w:val="WW8Num47z0"/>
    <w:qFormat/>
    <w:rPr>
      <w:b/>
      <w:i w:val="false"/>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rFonts w:ascii="Wingdings 2" w:hAnsi="Wingdings 2" w:eastAsia="Times New Roman" w:cs="Times New Roman"/>
      <w:b/>
      <w:sz w:val="32"/>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2" w:hAnsi="Wingdings 2" w:eastAsia="Times New Roman" w:cs="Times New Roman"/>
      <w:b/>
      <w:sz w:val="32"/>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4z0">
    <w:name w:val="WW8Num54z0"/>
    <w:qFormat/>
    <w:rPr/>
  </w:style>
  <w:style w:type="character" w:styleId="WW8Num55z0">
    <w:name w:val="WW8Num5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2002-02-03T15:41:00Z</dcterms:created>
  <dc:creator>jmoore2</dc:creator>
  <dc:description/>
  <dc:language>en-CA</dc:language>
  <cp:lastModifiedBy>cstclai</cp:lastModifiedBy>
  <cp:lastPrinted>2002-02-03T14:51:00Z</cp:lastPrinted>
  <dcterms:modified xsi:type="dcterms:W3CDTF">2002-02-03T18:21:00Z</dcterms:modified>
  <cp:revision>5</cp:revision>
  <dc:subject/>
  <dc:title>MASTER POWER PURCHASE AND SALE AGREEMENT</dc:title>
</cp:coreProperties>
</file>