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sz w:val="28"/>
        </w:rPr>
      </w:pPr>
      <w:r>
        <w:rPr>
          <w:sz w:val="28"/>
        </w:rPr>
        <w:t xml:space="preserve">PARAGRAPH 10 </w:t>
      </w:r>
    </w:p>
    <w:p>
      <w:pPr>
        <w:pStyle w:val="Heading"/>
        <w:spacing w:before="0" w:after="0"/>
        <w:rPr>
          <w:sz w:val="28"/>
        </w:rPr>
      </w:pPr>
      <w:r>
        <w:rPr>
          <w:sz w:val="28"/>
        </w:rPr>
        <w:t>to the</w:t>
      </w:r>
    </w:p>
    <w:p>
      <w:pPr>
        <w:pStyle w:val="Heading"/>
        <w:spacing w:before="0" w:after="0"/>
        <w:rPr>
          <w:sz w:val="28"/>
        </w:rPr>
      </w:pPr>
      <w:r>
        <w:rPr>
          <w:sz w:val="28"/>
        </w:rPr>
        <w:t xml:space="preserve">COLLATERAL ANNEX </w:t>
      </w:r>
    </w:p>
    <w:p>
      <w:pPr>
        <w:pStyle w:val="BodyText"/>
        <w:spacing w:before="0" w:after="0"/>
        <w:jc w:val="center"/>
        <w:rPr>
          <w:b/>
          <w:bCs/>
          <w:sz w:val="28"/>
        </w:rPr>
      </w:pPr>
      <w:r>
        <w:rPr>
          <w:b/>
          <w:bCs/>
          <w:sz w:val="28"/>
        </w:rPr>
        <w:t xml:space="preserve">to the </w:t>
      </w:r>
    </w:p>
    <w:p>
      <w:pPr>
        <w:pStyle w:val="Heading"/>
        <w:spacing w:before="0" w:after="0"/>
        <w:rPr/>
      </w:pPr>
      <w:r>
        <w:rPr>
          <w:bCs/>
          <w:sz w:val="28"/>
        </w:rPr>
        <w:t>EEI MASTER POWER PURCHASE</w:t>
      </w:r>
      <w:r>
        <w:rPr>
          <w:sz w:val="28"/>
        </w:rPr>
        <w:t xml:space="preserve"> AND SALE AGREEMENT</w:t>
      </w:r>
    </w:p>
    <w:p>
      <w:pPr>
        <w:pStyle w:val="Heading"/>
        <w:spacing w:before="0" w:after="0"/>
        <w:rPr>
          <w:sz w:val="28"/>
          <w:u w:val="single"/>
        </w:rPr>
      </w:pPr>
      <w:r>
        <w:rPr>
          <w:sz w:val="28"/>
          <w:u w:val="single"/>
        </w:rPr>
      </w:r>
    </w:p>
    <w:p>
      <w:pPr>
        <w:pStyle w:val="Heading"/>
        <w:spacing w:before="0" w:after="0"/>
        <w:rPr>
          <w:sz w:val="28"/>
          <w:u w:val="single"/>
        </w:rPr>
      </w:pPr>
      <w:r>
        <w:rPr>
          <w:sz w:val="28"/>
          <w:u w:val="single"/>
        </w:rPr>
        <w:t>CREDIT ELECTIONS COVER SHEET</w:t>
      </w:r>
    </w:p>
    <w:p>
      <w:pPr>
        <w:pStyle w:val="coverbody"/>
        <w:spacing w:before="0" w:after="0"/>
        <w:rPr>
          <w:sz w:val="28"/>
          <w:u w:val="single"/>
        </w:rPr>
      </w:pPr>
      <w:r>
        <w:rPr>
          <w:sz w:val="28"/>
          <w:u w:val="single"/>
        </w:rPr>
      </w:r>
    </w:p>
    <w:p>
      <w:pPr>
        <w:pStyle w:val="coverbody"/>
        <w:spacing w:before="0" w:after="0"/>
        <w:rPr/>
      </w:pPr>
      <w:r>
        <w:rPr/>
      </w:r>
    </w:p>
    <w:p>
      <w:pPr>
        <w:pStyle w:val="coverbody"/>
        <w:spacing w:before="0" w:after="0"/>
        <w:rPr/>
      </w:pPr>
      <w:r>
        <w:rPr/>
      </w:r>
    </w:p>
    <w:p>
      <w:pPr>
        <w:pStyle w:val="coverbody"/>
        <w:spacing w:before="0" w:after="0"/>
        <w:jc w:val="start"/>
        <w:rPr>
          <w:b/>
          <w:bCs/>
          <w:sz w:val="24"/>
        </w:rPr>
      </w:pPr>
      <w:r>
        <w:rPr>
          <w:b/>
          <w:bCs/>
          <w:sz w:val="24"/>
        </w:rPr>
        <w:t xml:space="preserve">Paragraph 10.    </w:t>
      </w:r>
      <w:r>
        <w:rPr>
          <w:b/>
          <w:bCs/>
          <w:sz w:val="24"/>
          <w:u w:val="single"/>
        </w:rPr>
        <w:t>Elections and Variables</w:t>
      </w:r>
    </w:p>
    <w:p>
      <w:pPr>
        <w:pStyle w:val="coverbody"/>
        <w:spacing w:before="0" w:after="0"/>
        <w:rPr>
          <w:b/>
          <w:bCs/>
          <w:sz w:val="24"/>
        </w:rPr>
      </w:pPr>
      <w:r>
        <w:rPr>
          <w:b/>
          <w:bCs/>
          <w:sz w:val="24"/>
        </w:rPr>
      </w:r>
    </w:p>
    <w:p>
      <w:pPr>
        <w:pStyle w:val="coverbody"/>
        <w:spacing w:before="0" w:after="0"/>
        <w:rPr/>
      </w:pPr>
      <w:r>
        <w:rPr/>
      </w:r>
    </w:p>
    <w:p>
      <w:pPr>
        <w:pStyle w:val="coverbody"/>
        <w:numPr>
          <w:ilvl w:val="0"/>
          <w:numId w:val="15"/>
        </w:numPr>
        <w:tabs>
          <w:tab w:val="clear" w:pos="720"/>
        </w:tabs>
        <w:spacing w:before="0" w:after="0"/>
        <w:ind w:hanging="0" w:start="0" w:end="0"/>
        <w:rPr>
          <w:b/>
          <w:bCs/>
          <w:u w:val="single"/>
        </w:rPr>
      </w:pPr>
      <w:r>
        <w:rPr>
          <w:b/>
          <w:bCs/>
          <w:u w:val="single"/>
        </w:rPr>
        <w:t>Collateral Threshold.</w:t>
      </w:r>
    </w:p>
    <w:p>
      <w:pPr>
        <w:pStyle w:val="coverbody"/>
        <w:spacing w:before="0" w:after="0"/>
        <w:ind w:start="360" w:end="0"/>
        <w:rPr>
          <w:b/>
          <w:bCs/>
          <w:u w:val="single"/>
        </w:rPr>
      </w:pPr>
      <w:r>
        <w:rPr>
          <w:b/>
          <w:bCs/>
          <w:u w:val="single"/>
        </w:rPr>
      </w:r>
    </w:p>
    <w:p>
      <w:pPr>
        <w:pStyle w:val="coverbody"/>
        <w:numPr>
          <w:ilvl w:val="0"/>
          <w:numId w:val="12"/>
        </w:numPr>
        <w:spacing w:before="0" w:after="0"/>
        <w:rPr>
          <w:b/>
          <w:bCs/>
          <w:u w:val="single"/>
        </w:rPr>
      </w:pPr>
      <w:r>
        <w:rPr>
          <w:b/>
          <w:bCs/>
          <w:u w:val="single"/>
        </w:rPr>
        <w:t>Party A Collateral Threshold.</w:t>
      </w:r>
    </w:p>
    <w:p>
      <w:pPr>
        <w:pStyle w:val="coverbody"/>
        <w:spacing w:before="0" w:after="0"/>
        <w:ind w:start="360" w:end="0"/>
        <w:rPr>
          <w:b/>
          <w:bCs/>
          <w:u w:val="single"/>
        </w:rPr>
      </w:pPr>
      <w:r>
        <w:rPr>
          <w:b/>
          <w:bCs/>
          <w:u w:val="single"/>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t>$______________; provided, however, that the Collateral Threshold for Party A shall be zero upon the occurrence and during the continuance of an Event of Default or a Potential Event of Default with respect to Party A.</w:t>
      </w:r>
    </w:p>
    <w:p>
      <w:pPr>
        <w:pStyle w:val="coverbody"/>
        <w:spacing w:before="0" w:after="0"/>
        <w:rPr/>
      </w:pPr>
      <w:r>
        <w:rPr/>
      </w:r>
    </w:p>
    <w:p>
      <w:pPr>
        <w:pStyle w:val="Normal"/>
        <w:ind w:hanging="720" w:start="2160" w:end="0"/>
        <w:jc w:val="both"/>
        <w:rPr/>
      </w:pPr>
      <w:r>
        <w:rPr>
          <w:rFonts w:eastAsia="Wingdings 2" w:cs="Wingdings 2" w:ascii="Wingdings 2" w:hAnsi="Wingdings 2"/>
          <w:b/>
          <w:bCs/>
          <w:sz w:val="20"/>
        </w:rPr>
        <w:sym w:font="Wingdings 2" w:char="f02a"/>
      </w:r>
      <w:r>
        <w:rPr>
          <w:b/>
          <w:bCs/>
          <w:sz w:val="20"/>
        </w:rPr>
        <w:tab/>
      </w:r>
      <w:r>
        <w:rPr>
          <w:sz w:val="20"/>
        </w:rPr>
        <w:t>(a)  The amount set forth below under the heading “Party A Collateral Threshold” opposite the Credit Rating for [Party A][Party A’s Guarantor] on the relevant date of determination, and if [Party A’s][Party A’s Guarantor’s] Credit Ratings shall not be equivalent, the lower Credit Rating shall govern or (b) zero if on the relevant date of determination [Party A][its Guarantor] does not have a Credit Rating from the rating agency(ies) specified below or an Event of Default or a Potential Event of Default with respect to Party A has occurred and is continuing:</w:t>
      </w:r>
    </w:p>
    <w:p>
      <w:pPr>
        <w:pStyle w:val="Normal"/>
        <w:jc w:val="both"/>
        <w:rPr>
          <w:sz w:val="20"/>
        </w:rPr>
      </w:pPr>
      <w:r>
        <w:rPr>
          <w:sz w:val="20"/>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rPr>
                <w:b/>
                <w:bCs/>
                <w:sz w:val="20"/>
              </w:rPr>
            </w:pPr>
            <w:r>
              <w:rPr>
                <w:b/>
                <w:bCs/>
                <w:sz w:val="20"/>
              </w:rPr>
              <w:t>Party A</w:t>
            </w:r>
          </w:p>
          <w:p>
            <w:pPr>
              <w:pStyle w:val="Normal"/>
              <w:keepNext w:val="true"/>
              <w:rPr>
                <w:b/>
                <w:bCs/>
                <w:sz w:val="20"/>
                <w:u w:val="single"/>
              </w:rPr>
            </w:pPr>
            <w:r>
              <w:rPr>
                <w:b/>
                <w:bCs/>
                <w:sz w:val="20"/>
                <w:u w:val="single"/>
              </w:rPr>
              <w:t>Collateral Threshold</w:t>
            </w:r>
          </w:p>
        </w:tc>
        <w:tc>
          <w:tcPr>
            <w:tcW w:w="2672" w:type="dxa"/>
            <w:tcBorders/>
          </w:tcPr>
          <w:p>
            <w:pPr>
              <w:pStyle w:val="Normal"/>
              <w:keepNext w:val="true"/>
              <w:snapToGrid w:val="false"/>
              <w:ind w:start="-18" w:end="0"/>
              <w:rPr>
                <w:b/>
                <w:bCs/>
                <w:sz w:val="20"/>
                <w:u w:val="single"/>
              </w:rPr>
            </w:pPr>
            <w:r>
              <w:rPr>
                <w:b/>
                <w:bCs/>
                <w:sz w:val="20"/>
                <w:u w:val="single"/>
              </w:rPr>
            </w:r>
          </w:p>
          <w:p>
            <w:pPr>
              <w:pStyle w:val="Normal"/>
              <w:keepNext w:val="true"/>
              <w:ind w:start="-18" w:end="0"/>
              <w:rPr>
                <w:b/>
                <w:bCs/>
                <w:sz w:val="20"/>
                <w:u w:val="single"/>
              </w:rPr>
            </w:pPr>
            <w:r>
              <w:rPr>
                <w:b/>
                <w:bCs/>
                <w:sz w:val="20"/>
                <w:u w:val="single"/>
              </w:rPr>
              <w:t>S&amp;P Credit Rating</w:t>
            </w:r>
          </w:p>
          <w:p>
            <w:pPr>
              <w:pStyle w:val="Normal"/>
              <w:keepNext w:val="true"/>
              <w:ind w:start="-18" w:end="0"/>
              <w:rPr>
                <w:b/>
                <w:bCs/>
                <w:sz w:val="20"/>
                <w:u w:val="single"/>
              </w:rPr>
            </w:pPr>
            <w:r>
              <w:rPr>
                <w:b/>
                <w:bCs/>
                <w:sz w:val="20"/>
                <w:u w:val="single"/>
              </w:rPr>
            </w:r>
          </w:p>
        </w:tc>
        <w:tc>
          <w:tcPr>
            <w:tcW w:w="2672" w:type="dxa"/>
            <w:tcBorders/>
          </w:tcPr>
          <w:p>
            <w:pPr>
              <w:pStyle w:val="Normal"/>
              <w:keepNext w:val="true"/>
              <w:snapToGrid w:val="false"/>
              <w:rPr>
                <w:b/>
                <w:bCs/>
                <w:sz w:val="20"/>
                <w:u w:val="single"/>
              </w:rPr>
            </w:pPr>
            <w:r>
              <w:rPr>
                <w:b/>
                <w:bCs/>
                <w:sz w:val="20"/>
                <w:u w:val="single"/>
              </w:rPr>
            </w:r>
          </w:p>
          <w:p>
            <w:pPr>
              <w:pStyle w:val="Normal"/>
              <w:keepNext w:val="true"/>
              <w:rPr>
                <w:b/>
                <w:bCs/>
                <w:sz w:val="20"/>
                <w:u w:val="single"/>
              </w:rPr>
            </w:pPr>
            <w:r>
              <w:rPr>
                <w:b/>
                <w:bCs/>
                <w:sz w:val="20"/>
                <w:u w:val="single"/>
              </w:rPr>
              <w:t>Moody’s Credit Rating</w:t>
            </w:r>
          </w:p>
          <w:p>
            <w:pPr>
              <w:pStyle w:val="Normal"/>
              <w:keepNext w:val="true"/>
              <w:rPr>
                <w:b/>
                <w:bCs/>
                <w:sz w:val="20"/>
                <w:u w:val="single"/>
              </w:rPr>
            </w:pPr>
            <w:r>
              <w:rPr>
                <w:b/>
                <w:bCs/>
                <w:sz w:val="20"/>
                <w:u w:val="single"/>
              </w:rPr>
            </w:r>
          </w:p>
        </w:tc>
      </w:tr>
      <w:tr>
        <w:trPr/>
        <w:tc>
          <w:tcPr>
            <w:tcW w:w="2672" w:type="dxa"/>
            <w:tcBorders/>
          </w:tcPr>
          <w:p>
            <w:pPr>
              <w:pStyle w:val="Signature-dbl"/>
              <w:keepNext w:val="true"/>
              <w:tabs>
                <w:tab w:val="clear" w:pos="4320"/>
                <w:tab w:val="clear" w:pos="5040"/>
                <w:tab w:val="clear" w:pos="9360"/>
              </w:tabs>
              <w:spacing w:before="0" w:after="0"/>
              <w:rPr>
                <w:sz w:val="20"/>
                <w:szCs w:val="24"/>
              </w:rPr>
            </w:pPr>
            <w:r>
              <w:rPr>
                <w:sz w:val="20"/>
                <w:szCs w:val="24"/>
              </w:rPr>
              <w:t>$__________</w:t>
            </w:r>
          </w:p>
        </w:tc>
        <w:tc>
          <w:tcPr>
            <w:tcW w:w="2672" w:type="dxa"/>
            <w:tcBorders/>
          </w:tcPr>
          <w:p>
            <w:pPr>
              <w:pStyle w:val="Normal"/>
              <w:keepNext w:val="true"/>
              <w:ind w:start="-18" w:end="0"/>
              <w:rPr>
                <w:sz w:val="20"/>
              </w:rPr>
            </w:pPr>
            <w:r>
              <w:rPr>
                <w:sz w:val="20"/>
              </w:rPr>
              <w:t>_______ (or above)</w:t>
            </w:r>
          </w:p>
        </w:tc>
        <w:tc>
          <w:tcPr>
            <w:tcW w:w="2672" w:type="dxa"/>
            <w:tcBorders/>
          </w:tcPr>
          <w:p>
            <w:pPr>
              <w:pStyle w:val="Normal"/>
              <w:keepNext w:val="true"/>
              <w:ind w:start="-18" w:end="0"/>
              <w:rPr>
                <w:sz w:val="20"/>
              </w:rPr>
            </w:pPr>
            <w:r>
              <w:rPr>
                <w:sz w:val="20"/>
              </w:rPr>
              <w:t>_______ (or above)</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rPr>
                <w:sz w:val="20"/>
              </w:rPr>
            </w:pPr>
            <w:r>
              <w:rPr>
                <w:sz w:val="20"/>
              </w:rPr>
              <w:t>$__________</w:t>
            </w:r>
          </w:p>
        </w:tc>
        <w:tc>
          <w:tcPr>
            <w:tcW w:w="2672" w:type="dxa"/>
            <w:tcBorders/>
          </w:tcPr>
          <w:p>
            <w:pPr>
              <w:pStyle w:val="Normal"/>
              <w:ind w:start="-18" w:end="0"/>
              <w:rPr>
                <w:sz w:val="20"/>
              </w:rPr>
            </w:pPr>
            <w:r>
              <w:rPr>
                <w:sz w:val="20"/>
              </w:rPr>
              <w:t>Below _______</w:t>
            </w:r>
          </w:p>
        </w:tc>
        <w:tc>
          <w:tcPr>
            <w:tcW w:w="2672" w:type="dxa"/>
            <w:tcBorders/>
          </w:tcPr>
          <w:p>
            <w:pPr>
              <w:pStyle w:val="Normal"/>
              <w:ind w:start="-18" w:end="0"/>
              <w:rPr>
                <w:sz w:val="20"/>
              </w:rPr>
            </w:pPr>
            <w:r>
              <w:rPr>
                <w:sz w:val="20"/>
              </w:rPr>
              <w:t>Below _______</w:t>
            </w:r>
          </w:p>
        </w:tc>
      </w:tr>
      <w:tr>
        <w:trPr/>
        <w:tc>
          <w:tcPr>
            <w:tcW w:w="2672" w:type="dxa"/>
            <w:tcBorders/>
          </w:tcPr>
          <w:p>
            <w:pPr>
              <w:pStyle w:val="Normal"/>
              <w:snapToGrid w:val="false"/>
              <w:rPr>
                <w:sz w:val="20"/>
              </w:rPr>
            </w:pPr>
            <w:r>
              <w:rPr>
                <w:sz w:val="20"/>
              </w:rPr>
            </w:r>
          </w:p>
        </w:tc>
        <w:tc>
          <w:tcPr>
            <w:tcW w:w="2672" w:type="dxa"/>
            <w:tcBorders/>
          </w:tcPr>
          <w:p>
            <w:pPr>
              <w:pStyle w:val="Normal"/>
              <w:snapToGrid w:val="false"/>
              <w:ind w:start="-18" w:end="0"/>
              <w:rPr>
                <w:sz w:val="20"/>
              </w:rPr>
            </w:pPr>
            <w:r>
              <w:rPr>
                <w:sz w:val="20"/>
              </w:rPr>
            </w:r>
          </w:p>
        </w:tc>
        <w:tc>
          <w:tcPr>
            <w:tcW w:w="2672" w:type="dxa"/>
            <w:tcBorders/>
          </w:tcPr>
          <w:p>
            <w:pPr>
              <w:pStyle w:val="Normal"/>
              <w:snapToGrid w:val="false"/>
              <w:rPr>
                <w:sz w:val="20"/>
              </w:rPr>
            </w:pPr>
            <w:r>
              <w:rPr>
                <w:sz w:val="20"/>
              </w:rPr>
            </w:r>
          </w:p>
        </w:tc>
      </w:tr>
    </w:tbl>
    <w:p>
      <w:pPr>
        <w:pStyle w:val="coverbody"/>
        <w:spacing w:before="0" w:after="0"/>
        <w:ind w:start="3600" w:end="0"/>
        <w:rPr/>
      </w:pPr>
      <w:r>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t>The amount of the Guaranty Agreement dated _____ from _____, as amended from time to time but in no event shall Party A’s Collateral Threshold be greater than $______.</w:t>
      </w:r>
      <w:r>
        <w:rPr>
          <w:b/>
          <w:bCs/>
        </w:rPr>
        <w:t xml:space="preserve">  </w:t>
      </w:r>
    </w:p>
    <w:p>
      <w:pPr>
        <w:pStyle w:val="coverbody"/>
        <w:spacing w:before="0" w:after="0"/>
        <w:rPr>
          <w:b/>
          <w:bCs/>
        </w:rPr>
      </w:pPr>
      <w:r>
        <w:rPr>
          <w:b/>
          <w:bCs/>
        </w:rPr>
      </w:r>
    </w:p>
    <w:p>
      <w:pPr>
        <w:pStyle w:val="coverbody"/>
        <w:numPr>
          <w:ilvl w:val="0"/>
          <w:numId w:val="16"/>
        </w:numPr>
        <w:spacing w:before="0" w:after="0"/>
        <w:rPr>
          <w:b/>
          <w:bCs/>
          <w:u w:val="single"/>
        </w:rPr>
      </w:pPr>
      <w:r>
        <w:rPr>
          <w:b/>
          <w:bCs/>
          <w:u w:val="single"/>
        </w:rPr>
        <w:t>Party B Collateral Threshold.</w:t>
      </w:r>
    </w:p>
    <w:p>
      <w:pPr>
        <w:pStyle w:val="coverbody"/>
        <w:spacing w:before="0" w:after="0"/>
        <w:rPr>
          <w:b/>
          <w:bCs/>
          <w:u w:val="single"/>
        </w:rPr>
      </w:pPr>
      <w:r>
        <w:rPr>
          <w:b/>
          <w:bCs/>
          <w:u w:val="single"/>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t>$______________; provided, however, that the Collateral Threshold for Party B shall be zero upon the occurrence and during the continuance of an Event of Default or a Potential Event of Default with respect to Party B.</w:t>
      </w:r>
    </w:p>
    <w:p>
      <w:pPr>
        <w:pStyle w:val="coverbody"/>
        <w:spacing w:before="0" w:after="0"/>
        <w:rPr/>
      </w:pPr>
      <w:r>
        <w:rPr/>
      </w:r>
    </w:p>
    <w:p>
      <w:pPr>
        <w:pStyle w:val="Normal"/>
        <w:ind w:hanging="720" w:start="2160" w:end="0"/>
        <w:jc w:val="both"/>
        <w:rPr/>
      </w:pPr>
      <w:r>
        <w:rPr>
          <w:rFonts w:eastAsia="Wingdings 2" w:cs="Wingdings 2" w:ascii="Wingdings 2" w:hAnsi="Wingdings 2"/>
          <w:b/>
          <w:bCs/>
          <w:sz w:val="20"/>
        </w:rPr>
        <w:sym w:font="Wingdings 2" w:char="f02a"/>
      </w:r>
      <w:r>
        <w:rPr>
          <w:b/>
          <w:bCs/>
          <w:sz w:val="20"/>
        </w:rPr>
        <w:tab/>
      </w:r>
      <w:r>
        <w:rPr>
          <w:sz w:val="20"/>
        </w:rPr>
        <w:t>(a)  The amount set forth below under the heading “Party B Collateral Threshold” opposite the Credit Rating for [Party B][Party B’s Guarantor] on the relevant date of determination, and if [Party B’s][Party B’s Guarantor’s] Credit Ratings shall not be equivalent, the lower Credit Rating shall govern or (b) zero if on the relevant date of determination [Party B][its Guarantor] does not have a Credit Rating from the rating agency(ies) specified below or an Event of Default or a Potential Event of Default with respect to Party B has occurred and is continuing:</w:t>
      </w:r>
    </w:p>
    <w:p>
      <w:pPr>
        <w:pStyle w:val="Normal"/>
        <w:jc w:val="both"/>
        <w:rPr>
          <w:sz w:val="20"/>
        </w:rPr>
      </w:pPr>
      <w:r>
        <w:rPr>
          <w:sz w:val="20"/>
        </w:rPr>
      </w:r>
    </w:p>
    <w:p>
      <w:pPr>
        <w:pStyle w:val="Normal"/>
        <w:ind w:firstLine="720" w:start="720" w:end="0"/>
        <w:jc w:val="both"/>
        <w:rPr>
          <w:b/>
          <w:bCs/>
          <w:sz w:val="20"/>
          <w:u w:val="single"/>
        </w:rPr>
      </w:pPr>
      <w:r>
        <w:rPr>
          <w:b/>
          <w:bCs/>
          <w:sz w:val="20"/>
          <w:u w:val="single"/>
        </w:rPr>
      </w:r>
    </w:p>
    <w:p>
      <w:pPr>
        <w:pStyle w:val="Normal"/>
        <w:jc w:val="both"/>
        <w:rPr>
          <w:b/>
          <w:bCs/>
          <w:sz w:val="20"/>
          <w:u w:val="single"/>
        </w:rPr>
      </w:pPr>
      <w:r>
        <w:rPr>
          <w:b/>
          <w:bCs/>
          <w:sz w:val="20"/>
          <w:u w:val="single"/>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rPr>
                <w:b/>
                <w:bCs/>
                <w:sz w:val="20"/>
              </w:rPr>
            </w:pPr>
            <w:r>
              <w:rPr>
                <w:b/>
                <w:bCs/>
                <w:sz w:val="20"/>
              </w:rPr>
              <w:t>Party B</w:t>
            </w:r>
          </w:p>
          <w:p>
            <w:pPr>
              <w:pStyle w:val="Normal"/>
              <w:keepNext w:val="true"/>
              <w:rPr>
                <w:b/>
                <w:bCs/>
                <w:sz w:val="20"/>
                <w:u w:val="single"/>
              </w:rPr>
            </w:pPr>
            <w:r>
              <w:rPr>
                <w:b/>
                <w:bCs/>
                <w:sz w:val="20"/>
                <w:u w:val="single"/>
              </w:rPr>
              <w:t>Collateral Threshold</w:t>
            </w:r>
          </w:p>
        </w:tc>
        <w:tc>
          <w:tcPr>
            <w:tcW w:w="2672" w:type="dxa"/>
            <w:tcBorders/>
          </w:tcPr>
          <w:p>
            <w:pPr>
              <w:pStyle w:val="Normal"/>
              <w:keepNext w:val="true"/>
              <w:snapToGrid w:val="false"/>
              <w:ind w:start="-18" w:end="0"/>
              <w:rPr>
                <w:b/>
                <w:bCs/>
                <w:sz w:val="20"/>
                <w:u w:val="single"/>
              </w:rPr>
            </w:pPr>
            <w:r>
              <w:rPr>
                <w:b/>
                <w:bCs/>
                <w:sz w:val="20"/>
                <w:u w:val="single"/>
              </w:rPr>
            </w:r>
          </w:p>
          <w:p>
            <w:pPr>
              <w:pStyle w:val="Normal"/>
              <w:keepNext w:val="true"/>
              <w:ind w:start="-18" w:end="0"/>
              <w:rPr>
                <w:b/>
                <w:bCs/>
                <w:sz w:val="20"/>
                <w:u w:val="single"/>
              </w:rPr>
            </w:pPr>
            <w:r>
              <w:rPr>
                <w:b/>
                <w:bCs/>
                <w:sz w:val="20"/>
                <w:u w:val="single"/>
              </w:rPr>
              <w:t>S&amp;P Credit Rating</w:t>
            </w:r>
          </w:p>
          <w:p>
            <w:pPr>
              <w:pStyle w:val="Normal"/>
              <w:keepNext w:val="true"/>
              <w:ind w:start="-18" w:end="0"/>
              <w:rPr>
                <w:b/>
                <w:bCs/>
                <w:sz w:val="20"/>
                <w:u w:val="single"/>
              </w:rPr>
            </w:pPr>
            <w:r>
              <w:rPr>
                <w:b/>
                <w:bCs/>
                <w:sz w:val="20"/>
                <w:u w:val="single"/>
              </w:rPr>
            </w:r>
          </w:p>
        </w:tc>
        <w:tc>
          <w:tcPr>
            <w:tcW w:w="2672" w:type="dxa"/>
            <w:tcBorders/>
          </w:tcPr>
          <w:p>
            <w:pPr>
              <w:pStyle w:val="Normal"/>
              <w:keepNext w:val="true"/>
              <w:snapToGrid w:val="false"/>
              <w:rPr>
                <w:b/>
                <w:bCs/>
                <w:sz w:val="20"/>
                <w:u w:val="single"/>
              </w:rPr>
            </w:pPr>
            <w:r>
              <w:rPr>
                <w:b/>
                <w:bCs/>
                <w:sz w:val="20"/>
                <w:u w:val="single"/>
              </w:rPr>
            </w:r>
          </w:p>
          <w:p>
            <w:pPr>
              <w:pStyle w:val="Normal"/>
              <w:keepNext w:val="true"/>
              <w:rPr>
                <w:b/>
                <w:bCs/>
                <w:sz w:val="20"/>
                <w:u w:val="single"/>
              </w:rPr>
            </w:pPr>
            <w:r>
              <w:rPr>
                <w:b/>
                <w:bCs/>
                <w:sz w:val="20"/>
                <w:u w:val="single"/>
              </w:rPr>
              <w:t>Moody’s Credit Rating</w:t>
            </w:r>
          </w:p>
          <w:p>
            <w:pPr>
              <w:pStyle w:val="Normal"/>
              <w:keepNext w:val="true"/>
              <w:rPr>
                <w:b/>
                <w:bCs/>
                <w:sz w:val="20"/>
                <w:u w:val="single"/>
              </w:rPr>
            </w:pPr>
            <w:r>
              <w:rPr>
                <w:b/>
                <w:bCs/>
                <w:sz w:val="20"/>
                <w:u w:val="single"/>
              </w:rPr>
            </w:r>
          </w:p>
        </w:tc>
      </w:tr>
      <w:tr>
        <w:trPr/>
        <w:tc>
          <w:tcPr>
            <w:tcW w:w="2672" w:type="dxa"/>
            <w:tcBorders/>
          </w:tcPr>
          <w:p>
            <w:pPr>
              <w:pStyle w:val="Signature-dbl"/>
              <w:keepNext w:val="true"/>
              <w:tabs>
                <w:tab w:val="clear" w:pos="4320"/>
                <w:tab w:val="clear" w:pos="5040"/>
                <w:tab w:val="clear" w:pos="9360"/>
              </w:tabs>
              <w:spacing w:before="0" w:after="0"/>
              <w:rPr>
                <w:sz w:val="20"/>
                <w:szCs w:val="24"/>
              </w:rPr>
            </w:pPr>
            <w:r>
              <w:rPr>
                <w:sz w:val="20"/>
                <w:szCs w:val="24"/>
              </w:rPr>
              <w:t>$__________</w:t>
            </w:r>
          </w:p>
        </w:tc>
        <w:tc>
          <w:tcPr>
            <w:tcW w:w="2672" w:type="dxa"/>
            <w:tcBorders/>
          </w:tcPr>
          <w:p>
            <w:pPr>
              <w:pStyle w:val="Normal"/>
              <w:keepNext w:val="true"/>
              <w:ind w:start="-18" w:end="0"/>
              <w:rPr>
                <w:sz w:val="20"/>
              </w:rPr>
            </w:pPr>
            <w:r>
              <w:rPr>
                <w:sz w:val="20"/>
              </w:rPr>
              <w:t>_______ (or above)</w:t>
            </w:r>
          </w:p>
        </w:tc>
        <w:tc>
          <w:tcPr>
            <w:tcW w:w="2672" w:type="dxa"/>
            <w:tcBorders/>
          </w:tcPr>
          <w:p>
            <w:pPr>
              <w:pStyle w:val="Normal"/>
              <w:keepNext w:val="true"/>
              <w:ind w:start="-18" w:end="0"/>
              <w:rPr>
                <w:sz w:val="20"/>
              </w:rPr>
            </w:pPr>
            <w:r>
              <w:rPr>
                <w:sz w:val="20"/>
              </w:rPr>
              <w:t>_______ (or above)</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rPr>
                <w:sz w:val="20"/>
              </w:rPr>
            </w:pPr>
            <w:r>
              <w:rPr>
                <w:sz w:val="20"/>
              </w:rPr>
              <w:t>$__________</w:t>
            </w:r>
          </w:p>
        </w:tc>
        <w:tc>
          <w:tcPr>
            <w:tcW w:w="2672" w:type="dxa"/>
            <w:tcBorders/>
          </w:tcPr>
          <w:p>
            <w:pPr>
              <w:pStyle w:val="Normal"/>
              <w:ind w:start="-18" w:end="0"/>
              <w:rPr>
                <w:sz w:val="20"/>
              </w:rPr>
            </w:pPr>
            <w:r>
              <w:rPr>
                <w:sz w:val="20"/>
              </w:rPr>
              <w:t>Below _______</w:t>
            </w:r>
          </w:p>
        </w:tc>
        <w:tc>
          <w:tcPr>
            <w:tcW w:w="2672" w:type="dxa"/>
            <w:tcBorders/>
          </w:tcPr>
          <w:p>
            <w:pPr>
              <w:pStyle w:val="Normal"/>
              <w:ind w:start="-18" w:end="0"/>
              <w:rPr>
                <w:sz w:val="20"/>
              </w:rPr>
            </w:pPr>
            <w:r>
              <w:rPr>
                <w:sz w:val="20"/>
              </w:rPr>
              <w:t>Below _______</w:t>
            </w:r>
          </w:p>
        </w:tc>
      </w:tr>
      <w:tr>
        <w:trPr/>
        <w:tc>
          <w:tcPr>
            <w:tcW w:w="2672" w:type="dxa"/>
            <w:tcBorders/>
          </w:tcPr>
          <w:p>
            <w:pPr>
              <w:pStyle w:val="Normal"/>
              <w:snapToGrid w:val="false"/>
              <w:rPr>
                <w:sz w:val="20"/>
              </w:rPr>
            </w:pPr>
            <w:r>
              <w:rPr>
                <w:sz w:val="20"/>
              </w:rPr>
            </w:r>
          </w:p>
        </w:tc>
        <w:tc>
          <w:tcPr>
            <w:tcW w:w="2672" w:type="dxa"/>
            <w:tcBorders/>
          </w:tcPr>
          <w:p>
            <w:pPr>
              <w:pStyle w:val="Normal"/>
              <w:snapToGrid w:val="false"/>
              <w:ind w:start="-18" w:end="0"/>
              <w:rPr>
                <w:sz w:val="20"/>
              </w:rPr>
            </w:pPr>
            <w:r>
              <w:rPr>
                <w:sz w:val="20"/>
              </w:rPr>
            </w:r>
          </w:p>
        </w:tc>
        <w:tc>
          <w:tcPr>
            <w:tcW w:w="2672" w:type="dxa"/>
            <w:tcBorders/>
          </w:tcPr>
          <w:p>
            <w:pPr>
              <w:pStyle w:val="Normal"/>
              <w:snapToGrid w:val="false"/>
              <w:rPr>
                <w:sz w:val="20"/>
              </w:rPr>
            </w:pPr>
            <w:r>
              <w:rPr>
                <w:sz w:val="20"/>
              </w:rPr>
            </w:r>
          </w:p>
        </w:tc>
      </w:tr>
    </w:tbl>
    <w:p>
      <w:pPr>
        <w:pStyle w:val="coverbody"/>
        <w:spacing w:before="0" w:after="0"/>
        <w:ind w:start="3600" w:end="0"/>
        <w:rPr/>
      </w:pPr>
      <w:r>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t>The amount of the Guaranty Agreement dated _____ from _____, as amended from time to time but in no event shall Party B’s Collateral Threshold be greater than $______.</w:t>
      </w:r>
      <w:r>
        <w:rPr>
          <w:b/>
          <w:bCs/>
        </w:rPr>
        <w:t xml:space="preserve">  </w:t>
      </w:r>
    </w:p>
    <w:p>
      <w:pPr>
        <w:pStyle w:val="coverbody"/>
        <w:spacing w:before="0" w:after="0"/>
        <w:rPr>
          <w:b/>
          <w:bCs/>
        </w:rPr>
      </w:pPr>
      <w:r>
        <w:rPr>
          <w:b/>
          <w:bCs/>
        </w:rPr>
      </w:r>
    </w:p>
    <w:p>
      <w:pPr>
        <w:pStyle w:val="coverbody"/>
        <w:spacing w:before="0" w:after="0"/>
        <w:rPr/>
      </w:pPr>
      <w:r>
        <w:rPr/>
      </w:r>
    </w:p>
    <w:p>
      <w:pPr>
        <w:pStyle w:val="coverbody"/>
        <w:numPr>
          <w:ilvl w:val="0"/>
          <w:numId w:val="15"/>
        </w:numPr>
        <w:tabs>
          <w:tab w:val="clear" w:pos="720"/>
          <w:tab w:val="left" w:pos="0" w:leader="none"/>
        </w:tabs>
        <w:spacing w:before="0" w:after="0"/>
        <w:ind w:hanging="0" w:start="0" w:end="0"/>
        <w:rPr>
          <w:b/>
          <w:bCs/>
        </w:rPr>
      </w:pPr>
      <w:r>
        <w:rPr>
          <w:b/>
          <w:bCs/>
          <w:u w:val="single"/>
        </w:rPr>
        <w:t>Eligible Collateral and Valuation Percentage</w:t>
      </w:r>
      <w:r>
        <w:rPr>
          <w:b/>
          <w:bCs/>
        </w:rPr>
        <w:t>.</w:t>
      </w:r>
    </w:p>
    <w:p>
      <w:pPr>
        <w:pStyle w:val="coverbody"/>
        <w:spacing w:before="0" w:after="0"/>
        <w:rPr>
          <w:b/>
          <w:bCs/>
        </w:rPr>
      </w:pPr>
      <w:r>
        <w:rPr>
          <w:b/>
          <w:bCs/>
        </w:rPr>
      </w:r>
    </w:p>
    <w:p>
      <w:pPr>
        <w:pStyle w:val="Normal"/>
        <w:ind w:firstLine="720" w:end="0"/>
        <w:jc w:val="both"/>
        <w:rPr>
          <w:sz w:val="20"/>
        </w:rPr>
      </w:pPr>
      <w:r>
        <w:rPr>
          <w:sz w:val="20"/>
        </w:rPr>
        <w:t>The following items will qualify as "Eligible Collateral" for the Party specified:</w:t>
      </w:r>
    </w:p>
    <w:p>
      <w:pPr>
        <w:pStyle w:val="Normal"/>
        <w:ind w:firstLine="360" w:end="0"/>
        <w:jc w:val="both"/>
        <w:rPr>
          <w:sz w:val="20"/>
        </w:rPr>
      </w:pPr>
      <w:r>
        <w:rPr>
          <w:sz w:val="20"/>
        </w:rPr>
      </w:r>
    </w:p>
    <w:tbl>
      <w:tblPr>
        <w:tblW w:w="7990" w:type="dxa"/>
        <w:jc w:val="start"/>
        <w:tblInd w:w="2018" w:type="dxa"/>
        <w:tblLayout w:type="fixed"/>
        <w:tblCellMar>
          <w:top w:w="0" w:type="dxa"/>
          <w:start w:w="108" w:type="dxa"/>
          <w:bottom w:w="0" w:type="dxa"/>
          <w:end w:w="108" w:type="dxa"/>
        </w:tblCellMar>
      </w:tblPr>
      <w:tblGrid>
        <w:gridCol w:w="610"/>
        <w:gridCol w:w="1440"/>
        <w:gridCol w:w="990"/>
        <w:gridCol w:w="990"/>
        <w:gridCol w:w="3960"/>
      </w:tblGrid>
      <w:tr>
        <w:trPr>
          <w:trHeight w:val="90" w:hRule="atLeast"/>
        </w:trPr>
        <w:tc>
          <w:tcPr>
            <w:tcW w:w="610" w:type="dxa"/>
            <w:tcBorders/>
          </w:tcPr>
          <w:p>
            <w:pPr>
              <w:pStyle w:val="Normal"/>
              <w:snapToGrid w:val="false"/>
              <w:jc w:val="both"/>
              <w:rPr>
                <w:sz w:val="20"/>
              </w:rPr>
            </w:pPr>
            <w:r>
              <w:rPr>
                <w:sz w:val="20"/>
              </w:rPr>
            </w:r>
          </w:p>
        </w:tc>
        <w:tc>
          <w:tcPr>
            <w:tcW w:w="1440" w:type="dxa"/>
            <w:tcBorders/>
          </w:tcPr>
          <w:p>
            <w:pPr>
              <w:pStyle w:val="Normal"/>
              <w:snapToGrid w:val="false"/>
              <w:jc w:val="both"/>
              <w:rPr>
                <w:sz w:val="20"/>
              </w:rPr>
            </w:pPr>
            <w:r>
              <w:rPr>
                <w:sz w:val="20"/>
              </w:rPr>
            </w:r>
          </w:p>
        </w:tc>
        <w:tc>
          <w:tcPr>
            <w:tcW w:w="990" w:type="dxa"/>
            <w:tcBorders/>
          </w:tcPr>
          <w:p>
            <w:pPr>
              <w:pStyle w:val="Normal"/>
              <w:jc w:val="center"/>
              <w:rPr>
                <w:b/>
                <w:bCs/>
                <w:sz w:val="20"/>
                <w:u w:val="single"/>
              </w:rPr>
            </w:pPr>
            <w:r>
              <w:rPr>
                <w:b/>
                <w:bCs/>
                <w:sz w:val="20"/>
                <w:u w:val="single"/>
              </w:rPr>
              <w:t>Party A</w:t>
            </w:r>
          </w:p>
        </w:tc>
        <w:tc>
          <w:tcPr>
            <w:tcW w:w="990" w:type="dxa"/>
            <w:tcBorders/>
          </w:tcPr>
          <w:p>
            <w:pPr>
              <w:pStyle w:val="Normal"/>
              <w:jc w:val="center"/>
              <w:rPr>
                <w:b/>
                <w:bCs/>
                <w:sz w:val="20"/>
                <w:u w:val="single"/>
              </w:rPr>
            </w:pPr>
            <w:r>
              <w:rPr>
                <w:b/>
                <w:bCs/>
                <w:sz w:val="20"/>
                <w:u w:val="single"/>
              </w:rPr>
              <w:t>Party B</w:t>
            </w:r>
          </w:p>
        </w:tc>
        <w:tc>
          <w:tcPr>
            <w:tcW w:w="3960" w:type="dxa"/>
            <w:tcBorders/>
          </w:tcPr>
          <w:p>
            <w:pPr>
              <w:pStyle w:val="Heading3"/>
              <w:numPr>
                <w:ilvl w:val="0"/>
                <w:numId w:val="0"/>
              </w:numPr>
              <w:spacing w:before="0" w:after="0"/>
              <w:ind w:hanging="0" w:start="720" w:end="0"/>
              <w:jc w:val="center"/>
              <w:rPr>
                <w:b/>
                <w:bCs/>
                <w:sz w:val="20"/>
                <w:u w:val="single"/>
              </w:rPr>
            </w:pPr>
            <w:r>
              <w:rPr>
                <w:b/>
                <w:bCs/>
                <w:sz w:val="20"/>
                <w:u w:val="single"/>
              </w:rPr>
              <w:t>Valuation Percentage</w:t>
            </w:r>
          </w:p>
        </w:tc>
      </w:tr>
      <w:tr>
        <w:trPr/>
        <w:tc>
          <w:tcPr>
            <w:tcW w:w="610" w:type="dxa"/>
            <w:tcBorders/>
          </w:tcPr>
          <w:p>
            <w:pPr>
              <w:pStyle w:val="Normal"/>
              <w:jc w:val="both"/>
              <w:rPr>
                <w:sz w:val="20"/>
              </w:rPr>
            </w:pPr>
            <w:r>
              <w:rPr>
                <w:sz w:val="20"/>
              </w:rPr>
              <w:t>(A)</w:t>
            </w:r>
          </w:p>
        </w:tc>
        <w:tc>
          <w:tcPr>
            <w:tcW w:w="1440" w:type="dxa"/>
            <w:tcBorders/>
          </w:tcPr>
          <w:p>
            <w:pPr>
              <w:pStyle w:val="Normal"/>
              <w:jc w:val="both"/>
              <w:rPr>
                <w:sz w:val="20"/>
              </w:rPr>
            </w:pPr>
            <w:r>
              <w:rPr>
                <w:sz w:val="20"/>
              </w:rPr>
              <w:t>Cash</w:t>
            </w:r>
          </w:p>
          <w:p>
            <w:pPr>
              <w:pStyle w:val="Normal"/>
              <w:jc w:val="both"/>
              <w:rPr>
                <w:sz w:val="20"/>
              </w:rPr>
            </w:pPr>
            <w:r>
              <w:rPr>
                <w:sz w:val="20"/>
              </w:rPr>
            </w:r>
          </w:p>
        </w:tc>
        <w:tc>
          <w:tcPr>
            <w:tcW w:w="990" w:type="dxa"/>
            <w:tcBorders/>
          </w:tcPr>
          <w:p>
            <w:pPr>
              <w:pStyle w:val="Normal"/>
              <w:jc w:val="center"/>
              <w:rPr>
                <w:sz w:val="20"/>
              </w:rPr>
            </w:pPr>
            <w:r>
              <w:rPr>
                <w:b/>
                <w:sz w:val="20"/>
              </w:rPr>
              <w:t>[  ]</w:t>
            </w:r>
          </w:p>
        </w:tc>
        <w:tc>
          <w:tcPr>
            <w:tcW w:w="990" w:type="dxa"/>
            <w:tcBorders/>
          </w:tcPr>
          <w:p>
            <w:pPr>
              <w:pStyle w:val="Normal"/>
              <w:jc w:val="center"/>
              <w:rPr>
                <w:sz w:val="20"/>
              </w:rPr>
            </w:pPr>
            <w:r>
              <w:rPr>
                <w:b/>
                <w:sz w:val="20"/>
              </w:rPr>
              <w:t>[  ]</w:t>
            </w:r>
          </w:p>
        </w:tc>
        <w:tc>
          <w:tcPr>
            <w:tcW w:w="3960" w:type="dxa"/>
            <w:tcBorders/>
          </w:tcPr>
          <w:p>
            <w:pPr>
              <w:pStyle w:val="Normal"/>
              <w:jc w:val="both"/>
              <w:rPr>
                <w:sz w:val="20"/>
              </w:rPr>
            </w:pPr>
            <w:r>
              <w:rPr>
                <w:sz w:val="20"/>
              </w:rPr>
              <w:t>100%</w:t>
            </w:r>
          </w:p>
        </w:tc>
      </w:tr>
      <w:tr>
        <w:trPr/>
        <w:tc>
          <w:tcPr>
            <w:tcW w:w="610" w:type="dxa"/>
            <w:tcBorders/>
          </w:tcPr>
          <w:p>
            <w:pPr>
              <w:pStyle w:val="Normal"/>
              <w:jc w:val="both"/>
              <w:rPr>
                <w:sz w:val="20"/>
              </w:rPr>
            </w:pPr>
            <w:r>
              <w:rPr>
                <w:sz w:val="20"/>
              </w:rPr>
              <w:t>(B)</w:t>
            </w:r>
          </w:p>
        </w:tc>
        <w:tc>
          <w:tcPr>
            <w:tcW w:w="144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cs="Times New Roman"/>
                <w:szCs w:val="24"/>
              </w:rPr>
            </w:pPr>
            <w:r>
              <w:rPr>
                <w:rFonts w:cs="Times New Roman" w:ascii="Times New Roman" w:hAnsi="Times New Roman"/>
                <w:szCs w:val="24"/>
              </w:rPr>
              <w:t>Letters of Credit</w:t>
            </w:r>
          </w:p>
        </w:tc>
        <w:tc>
          <w:tcPr>
            <w:tcW w:w="990" w:type="dxa"/>
            <w:tcBorders/>
          </w:tcPr>
          <w:p>
            <w:pPr>
              <w:pStyle w:val="Normal"/>
              <w:jc w:val="center"/>
              <w:rPr>
                <w:sz w:val="20"/>
              </w:rPr>
            </w:pPr>
            <w:r>
              <w:rPr>
                <w:b/>
                <w:sz w:val="20"/>
              </w:rPr>
              <w:t>[  ]</w:t>
            </w:r>
          </w:p>
        </w:tc>
        <w:tc>
          <w:tcPr>
            <w:tcW w:w="990" w:type="dxa"/>
            <w:tcBorders/>
          </w:tcPr>
          <w:p>
            <w:pPr>
              <w:pStyle w:val="Normal"/>
              <w:jc w:val="center"/>
              <w:rPr>
                <w:sz w:val="20"/>
              </w:rPr>
            </w:pPr>
            <w:r>
              <w:rPr>
                <w:b/>
                <w:sz w:val="20"/>
              </w:rPr>
              <w:t>[  ]</w:t>
            </w:r>
          </w:p>
        </w:tc>
        <w:tc>
          <w:tcPr>
            <w:tcW w:w="3960" w:type="dxa"/>
            <w:tcBorders/>
          </w:tcPr>
          <w:p>
            <w:pPr>
              <w:pStyle w:val="Normal"/>
              <w:jc w:val="both"/>
              <w:rPr>
                <w:sz w:val="20"/>
              </w:rPr>
            </w:pPr>
            <w:r>
              <w:rPr>
                <w:sz w:val="20"/>
              </w:rPr>
              <w:t>100% unless either (i) a Letter of Credit Default shall have occurred and be continuing with respect to such Letter of Credit, or (ii) twenty (20) or fewer Business Days remain prior to the expiration of such Letter of Credit, in which cases the Valuation Percentage shall be zero (0).</w:t>
            </w:r>
          </w:p>
          <w:p>
            <w:pPr>
              <w:pStyle w:val="Normal"/>
              <w:jc w:val="both"/>
              <w:rPr>
                <w:sz w:val="20"/>
              </w:rPr>
            </w:pPr>
            <w:r>
              <w:rPr>
                <w:sz w:val="20"/>
              </w:rPr>
            </w:r>
          </w:p>
        </w:tc>
      </w:tr>
      <w:tr>
        <w:trPr/>
        <w:tc>
          <w:tcPr>
            <w:tcW w:w="610" w:type="dxa"/>
            <w:tcBorders/>
          </w:tcPr>
          <w:p>
            <w:pPr>
              <w:pStyle w:val="Normal"/>
              <w:jc w:val="both"/>
              <w:rPr>
                <w:sz w:val="20"/>
              </w:rPr>
            </w:pPr>
            <w:r>
              <w:rPr>
                <w:sz w:val="20"/>
              </w:rPr>
              <w:t>(C)</w:t>
            </w:r>
          </w:p>
        </w:tc>
        <w:tc>
          <w:tcPr>
            <w:tcW w:w="1440" w:type="dxa"/>
            <w:tcBorders/>
          </w:tcPr>
          <w:p>
            <w:pPr>
              <w:pStyle w:val="Normal"/>
              <w:jc w:val="both"/>
              <w:rPr>
                <w:sz w:val="20"/>
              </w:rPr>
            </w:pPr>
            <w:r>
              <w:rPr>
                <w:sz w:val="20"/>
              </w:rPr>
              <w:t>Other</w:t>
            </w:r>
          </w:p>
        </w:tc>
        <w:tc>
          <w:tcPr>
            <w:tcW w:w="990" w:type="dxa"/>
            <w:tcBorders/>
          </w:tcPr>
          <w:p>
            <w:pPr>
              <w:pStyle w:val="Normal"/>
              <w:jc w:val="center"/>
              <w:rPr>
                <w:sz w:val="20"/>
              </w:rPr>
            </w:pPr>
            <w:r>
              <w:rPr>
                <w:b/>
                <w:sz w:val="20"/>
              </w:rPr>
              <w:t>[ ]</w:t>
            </w:r>
          </w:p>
        </w:tc>
        <w:tc>
          <w:tcPr>
            <w:tcW w:w="990" w:type="dxa"/>
            <w:tcBorders/>
          </w:tcPr>
          <w:p>
            <w:pPr>
              <w:pStyle w:val="Normal"/>
              <w:jc w:val="center"/>
              <w:rPr>
                <w:sz w:val="20"/>
              </w:rPr>
            </w:pPr>
            <w:r>
              <w:rPr>
                <w:b/>
                <w:sz w:val="20"/>
              </w:rPr>
              <w:t>[  ]</w:t>
            </w:r>
          </w:p>
        </w:tc>
        <w:tc>
          <w:tcPr>
            <w:tcW w:w="3960" w:type="dxa"/>
            <w:tcBorders/>
          </w:tcPr>
          <w:p>
            <w:pPr>
              <w:pStyle w:val="Normal"/>
              <w:jc w:val="both"/>
              <w:rPr>
                <w:sz w:val="20"/>
              </w:rPr>
            </w:pPr>
            <w:r>
              <w:rPr>
                <w:sz w:val="20"/>
              </w:rPr>
              <w:t>________%</w:t>
            </w:r>
          </w:p>
          <w:p>
            <w:pPr>
              <w:pStyle w:val="Normal"/>
              <w:jc w:val="both"/>
              <w:rPr>
                <w:sz w:val="20"/>
              </w:rPr>
            </w:pPr>
            <w:r>
              <w:rPr>
                <w:sz w:val="20"/>
              </w:rPr>
            </w:r>
          </w:p>
        </w:tc>
      </w:tr>
    </w:tbl>
    <w:p>
      <w:pPr>
        <w:pStyle w:val="coverbody"/>
        <w:spacing w:before="0" w:after="0"/>
        <w:rPr/>
      </w:pPr>
      <w:r>
        <w:rPr/>
      </w:r>
    </w:p>
    <w:p>
      <w:pPr>
        <w:pStyle w:val="coverbody"/>
        <w:numPr>
          <w:ilvl w:val="0"/>
          <w:numId w:val="15"/>
        </w:numPr>
        <w:tabs>
          <w:tab w:val="clear" w:pos="720"/>
          <w:tab w:val="left" w:pos="0" w:leader="none"/>
        </w:tabs>
        <w:spacing w:before="0" w:after="0"/>
        <w:ind w:hanging="0" w:start="0" w:end="0"/>
        <w:jc w:val="start"/>
        <w:rPr>
          <w:b/>
          <w:bCs/>
          <w:u w:val="single"/>
        </w:rPr>
      </w:pPr>
      <w:r>
        <w:rPr>
          <w:b/>
          <w:bCs/>
          <w:u w:val="single"/>
        </w:rPr>
        <w:t>Independent Amount.</w:t>
      </w:r>
    </w:p>
    <w:p>
      <w:pPr>
        <w:pStyle w:val="coverbody"/>
        <w:spacing w:before="0" w:after="0"/>
        <w:rPr>
          <w:b/>
          <w:bCs/>
          <w:u w:val="single"/>
        </w:rPr>
      </w:pPr>
      <w:r>
        <w:rPr>
          <w:b/>
          <w:bCs/>
          <w:u w:val="single"/>
        </w:rPr>
      </w:r>
    </w:p>
    <w:p>
      <w:pPr>
        <w:pStyle w:val="coverbody"/>
        <w:numPr>
          <w:ilvl w:val="0"/>
          <w:numId w:val="14"/>
        </w:numPr>
        <w:spacing w:before="0" w:after="0"/>
        <w:rPr>
          <w:b/>
          <w:bCs/>
          <w:u w:val="single"/>
        </w:rPr>
      </w:pPr>
      <w:r>
        <w:rPr>
          <w:b/>
          <w:bCs/>
          <w:u w:val="single"/>
        </w:rPr>
        <w:t>Party A Independent Amount.</w:t>
      </w:r>
    </w:p>
    <w:p>
      <w:pPr>
        <w:pStyle w:val="coverbody"/>
        <w:spacing w:before="0" w:after="0"/>
        <w:ind w:start="720" w:end="0"/>
        <w:rPr>
          <w:b/>
          <w:bCs/>
          <w:u w:val="single"/>
        </w:rPr>
      </w:pPr>
      <w:r>
        <w:rPr>
          <w:b/>
          <w:bCs/>
          <w:u w:val="single"/>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w:t>
      </w:r>
      <w:r>
        <w:rPr/>
        <w:t>arty A shall have a Fixed Independent Amount of $______________.   If the Fixed Independent Amount option is selected for Party A, then Party A (which shall be a Pledging Party with respect to the Fixed IA Performance Assurance) will be required to Transfer or cause to be Transferred to Party B (which shall be a Secured Party with respect to the Fixed IA Performance Assurance)  Performance Assurance with a Collateral Value equal to the amount of such Independent Amount (the “Fixed IA Performance Assurance”).   The Fixed IA Performance Assurance shall not be reduced for so long as there are any outstanding obligations between the Parties as a result of the Agreement, and shall not be taken into account when calculating Party A’s Collateral Requirement pursuant to the Collateral Annex.  Except as expressly set forth above, the Fixed IA Performance Assurance shall be held and maintained in accordance with, and otherwise be subject to,  Paragraphs 2, 5(b), 5(c), 6, 7 and 9 of the Collateral Annex.</w:t>
      </w:r>
    </w:p>
    <w:p>
      <w:pPr>
        <w:pStyle w:val="coverbody"/>
        <w:spacing w:before="0" w:after="0"/>
        <w:ind w:firstLine="720" w:start="720" w:end="0"/>
        <w:rPr/>
      </w:pPr>
      <w:r>
        <w:rPr/>
      </w:r>
    </w:p>
    <w:p>
      <w:pPr>
        <w:pStyle w:val="coverbody"/>
        <w:numPr>
          <w:ilvl w:val="0"/>
          <w:numId w:val="13"/>
        </w:numPr>
        <w:spacing w:before="0" w:after="0"/>
        <w:rPr/>
      </w:pPr>
      <w:r>
        <w:rPr>
          <w:bCs/>
        </w:rPr>
        <w:t>P</w:t>
      </w:r>
      <w:r>
        <w:rPr/>
        <w:t>arty A shall have a Full Floating Independent Amount of $______________.    If the Full Floating Independent Amount option is selected for Party A, then for purposes of calculating Party A’s Collateral Requirement pursuant to Paragraph 3 of the Collateral Annex, such Full Floating Independent Amount for Party A shall be added by Party B to its Exposure Amount for purposes of determining Net Exposure pursuant to Paragraph 3(a) of the Collateral Annex.</w:t>
      </w:r>
    </w:p>
    <w:p>
      <w:pPr>
        <w:pStyle w:val="coverbody"/>
        <w:spacing w:before="0" w:after="0"/>
        <w:ind w:start="1440" w:end="0"/>
        <w:rPr/>
      </w:pPr>
      <w:r>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w:t>
      </w:r>
      <w:r>
        <w:rPr/>
        <w:t>arty A shall have a Partial Floating Independent Amount of $______________.   If the Partial Floating Independent Amount option is selected for Party A, then Party A will be required to Transfer or cause to be Transferred to Party B Performance Assurance with a Collateral Value equal to the amount of such Independent Amount (the “Partial Floating IA Performance Assurance”) if at any time Party A otherwise has a Collateral Requirement (not taking into consideration the Partial Floating Independent Amount) pursuant to Paragraph 3 of the Collateral Annex.   The Partial Floating IA Performance Assurance shall not be reduced so long as Party A has a Collateral Requirement (not taking into consideration the Partial Floating Independent Amount).   The Partial Floating Independent Amount shall not be taken into account when calculating a Party’s Collateral Requirements pursuant to the Collateral Annex.  Except as expressly set forth above, the Partial Floating Independent Amount shall be held and maintained in accordance with, and otherwise be subject to, the Collateral Annex.</w:t>
      </w:r>
    </w:p>
    <w:p>
      <w:pPr>
        <w:pStyle w:val="coverbody"/>
        <w:spacing w:before="0" w:after="0"/>
        <w:ind w:hanging="720" w:start="2160" w:end="0"/>
        <w:rPr/>
      </w:pPr>
      <w:r>
        <w:rPr/>
      </w:r>
    </w:p>
    <w:p>
      <w:pPr>
        <w:pStyle w:val="coverbody"/>
        <w:spacing w:before="0" w:after="0"/>
        <w:rPr/>
      </w:pPr>
      <w:r>
        <w:rPr/>
      </w:r>
    </w:p>
    <w:p>
      <w:pPr>
        <w:pStyle w:val="coverbody"/>
        <w:numPr>
          <w:ilvl w:val="0"/>
          <w:numId w:val="17"/>
        </w:numPr>
        <w:spacing w:before="0" w:after="0"/>
        <w:rPr>
          <w:b/>
          <w:bCs/>
          <w:u w:val="single"/>
        </w:rPr>
      </w:pPr>
      <w:r>
        <w:rPr>
          <w:b/>
          <w:bCs/>
          <w:u w:val="single"/>
        </w:rPr>
        <w:t>Party B Independent Amount.</w:t>
      </w:r>
    </w:p>
    <w:p>
      <w:pPr>
        <w:pStyle w:val="coverbody"/>
        <w:spacing w:before="0" w:after="0"/>
        <w:ind w:start="720" w:end="0"/>
        <w:rPr>
          <w:b/>
          <w:bCs/>
          <w:u w:val="single"/>
        </w:rPr>
      </w:pPr>
      <w:r>
        <w:rPr>
          <w:b/>
          <w:bCs/>
          <w:u w:val="single"/>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w:t>
      </w:r>
      <w:r>
        <w:rPr/>
        <w:t>arty B shall have a Fixed Independent Amount of $______________.    If the Fixed Independent Amount Option is selected for Party B, then Party B (which shall be a Pledging Party with respect to the Fixed IA Performance Assurance) will be required to Transfer or cause to be Transferred to Party A (which shall be a Secured Party with respect to the Fixed IA Performance Assurance) Performance Assurance with a Collateral Value equal to the amount of such Independent Amount (the “Fixed IA Performance Assurance”).   The Fixed IA Performance Assurance shall not be reduced for so long as there are any outstanding obligations between the Parties as a result of the Agreement, and shall not be taken into account when calculating Party B’s Collateral Requirement pursuant to the Collateral Annex.  Except as expressly set forth above, the Fixed IA Performance Assurance shall be held and maintained in accordance with, and otherwise be subject to,  Paragraphs 2, 5(b), 5(c), 6, 7 and 9 of the Collateral Annex.</w:t>
      </w:r>
    </w:p>
    <w:p>
      <w:pPr>
        <w:pStyle w:val="coverbody"/>
        <w:spacing w:before="0" w:after="0"/>
        <w:ind w:firstLine="720" w:start="720" w:end="0"/>
        <w:rPr/>
      </w:pPr>
      <w:r>
        <w:rPr/>
      </w:r>
    </w:p>
    <w:p>
      <w:pPr>
        <w:pStyle w:val="coverbody"/>
        <w:numPr>
          <w:ilvl w:val="0"/>
          <w:numId w:val="13"/>
        </w:numPr>
        <w:spacing w:before="0" w:after="0"/>
        <w:rPr/>
      </w:pPr>
      <w:r>
        <w:rPr>
          <w:bCs/>
        </w:rPr>
        <w:t>P</w:t>
      </w:r>
      <w:r>
        <w:rPr/>
        <w:t>arty B shall have a Full Floating Independent Amount of $______________.     If the Full Floating Independent Amount Option is selected for Party B then for purposes of calculating Party B’s Collateral Requirement pursuant to Paragraph 3 of the Collateral Annex, such Full Floating Independent Amount for Party B shall be added by Party A to its Exposure Amount for purposes of determining Net Exposure pursuant to Paragraph 3(a) of the Collateral Annex.</w:t>
      </w:r>
    </w:p>
    <w:p>
      <w:pPr>
        <w:pStyle w:val="coverbody"/>
        <w:spacing w:before="0" w:after="0"/>
        <w:ind w:firstLine="720" w:start="720" w:end="0"/>
        <w:rPr/>
      </w:pPr>
      <w:r>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w:t>
      </w:r>
      <w:r>
        <w:rPr/>
        <w:t>arty B shall have a Partial Floating Independent Amount of $______________.     If the Partial Floating Independent Amount option is selected for Party B, then Party B will be required to Transfer or cause to be Transferred to Party A Performance Assurance with a Collateral Value equal to the amount of such Independent Amount (the “Partial Floating IA Performance Assurance”) if at any time Party B otherwise has a Collateral Requirement (not taking into consideration the Partial Floating Independent Amount) pursuant to Paragraph 3 of the Collateral Annex.   The Partial Floating IA Performance Assurance shall not be reduced for so long as Party B has a Collateral Requirement (not taking into consideration the Partial Floating Independent Amount).   The Partial Floating Independent Amount shall not be taken into account when calculating a Party’s Collateral Requirements pursuant to the Collateral Annex.   Except as expressly set forth above, the Partial Floating Independent Amount shall be held and maintained in accordance with, and otherwise be subject to, the Collateral Annex.</w:t>
      </w:r>
    </w:p>
    <w:p>
      <w:pPr>
        <w:pStyle w:val="coverbody"/>
        <w:spacing w:before="0" w:after="0"/>
        <w:rPr>
          <w:b/>
          <w:bCs/>
        </w:rPr>
      </w:pPr>
      <w:r>
        <w:rPr>
          <w:b/>
          <w:bCs/>
        </w:rPr>
      </w:r>
    </w:p>
    <w:p>
      <w:pPr>
        <w:pStyle w:val="coverbody"/>
        <w:spacing w:before="0" w:after="0"/>
        <w:rPr>
          <w:b/>
          <w:bCs/>
        </w:rPr>
      </w:pPr>
      <w:r>
        <w:rPr>
          <w:b/>
          <w:bCs/>
        </w:rPr>
      </w:r>
    </w:p>
    <w:p>
      <w:pPr>
        <w:pStyle w:val="coverbody"/>
        <w:spacing w:before="0" w:after="0"/>
        <w:rPr>
          <w:b/>
          <w:bCs/>
        </w:rPr>
      </w:pPr>
      <w:r>
        <w:rPr>
          <w:b/>
          <w:bCs/>
        </w:rPr>
        <w:t>IV.</w:t>
        <w:tab/>
      </w:r>
      <w:r>
        <w:rPr>
          <w:b/>
          <w:bCs/>
          <w:u w:val="single"/>
        </w:rPr>
        <w:t>Minimum Transfer Amount.</w:t>
      </w:r>
    </w:p>
    <w:p>
      <w:pPr>
        <w:pStyle w:val="coverbody"/>
        <w:spacing w:before="0" w:after="0"/>
        <w:rPr>
          <w:b/>
          <w:bCs/>
        </w:rPr>
      </w:pPr>
      <w:r>
        <w:rPr>
          <w:b/>
          <w:bCs/>
        </w:rPr>
      </w:r>
    </w:p>
    <w:p>
      <w:pPr>
        <w:pStyle w:val="coverbody"/>
        <w:spacing w:before="0" w:after="0"/>
        <w:ind w:firstLine="720" w:end="0"/>
        <w:rPr/>
      </w:pPr>
      <w:r>
        <w:rPr>
          <w:b/>
          <w:bCs/>
        </w:rPr>
        <w:t>A.</w:t>
        <w:tab/>
      </w:r>
      <w:r>
        <w:rPr>
          <w:b/>
          <w:bCs/>
          <w:u w:val="single"/>
        </w:rPr>
        <w:t>Party A Minimum Transfer Amount:</w:t>
      </w:r>
      <w:r>
        <w:rPr/>
        <w:tab/>
        <w:t>$_________________________</w:t>
      </w:r>
    </w:p>
    <w:p>
      <w:pPr>
        <w:pStyle w:val="coverbody"/>
        <w:spacing w:before="0" w:after="0"/>
        <w:rPr/>
      </w:pPr>
      <w:r>
        <w:rPr/>
      </w:r>
    </w:p>
    <w:p>
      <w:pPr>
        <w:pStyle w:val="coverbody"/>
        <w:spacing w:before="0" w:after="0"/>
        <w:ind w:firstLine="720" w:end="0"/>
        <w:rPr/>
      </w:pPr>
      <w:r>
        <w:rPr>
          <w:b/>
          <w:bCs/>
        </w:rPr>
        <w:t>B.</w:t>
        <w:tab/>
      </w:r>
      <w:r>
        <w:rPr>
          <w:b/>
          <w:bCs/>
          <w:u w:val="single"/>
        </w:rPr>
        <w:t>Party B Minimum Transfer Amount:</w:t>
      </w:r>
      <w:r>
        <w:rPr/>
        <w:tab/>
        <w:t>$_________________________</w:t>
      </w:r>
    </w:p>
    <w:p>
      <w:pPr>
        <w:pStyle w:val="coverbody"/>
        <w:spacing w:before="0" w:after="0"/>
        <w:rPr/>
      </w:pPr>
      <w:r>
        <w:rPr/>
      </w:r>
    </w:p>
    <w:p>
      <w:pPr>
        <w:pStyle w:val="coverbody"/>
        <w:spacing w:before="0" w:after="0"/>
        <w:rPr/>
      </w:pPr>
      <w:r>
        <w:rPr/>
      </w:r>
    </w:p>
    <w:p>
      <w:pPr>
        <w:pStyle w:val="coverbody"/>
        <w:spacing w:before="0" w:after="0"/>
        <w:rPr>
          <w:b/>
          <w:bCs/>
        </w:rPr>
      </w:pPr>
      <w:r>
        <w:rPr>
          <w:b/>
          <w:bCs/>
        </w:rPr>
        <w:t>V.</w:t>
        <w:tab/>
      </w:r>
      <w:r>
        <w:rPr>
          <w:b/>
          <w:bCs/>
          <w:u w:val="single"/>
        </w:rPr>
        <w:t>Rounding Amount.</w:t>
      </w:r>
    </w:p>
    <w:p>
      <w:pPr>
        <w:pStyle w:val="coverbody"/>
        <w:spacing w:before="0" w:after="0"/>
        <w:rPr>
          <w:b/>
          <w:bCs/>
        </w:rPr>
      </w:pPr>
      <w:r>
        <w:rPr>
          <w:b/>
          <w:bCs/>
        </w:rPr>
      </w:r>
    </w:p>
    <w:p>
      <w:pPr>
        <w:pStyle w:val="coverbody"/>
        <w:spacing w:before="0" w:after="0"/>
        <w:ind w:start="720" w:end="0"/>
        <w:rPr/>
      </w:pPr>
      <w:r>
        <w:rPr>
          <w:b/>
          <w:bCs/>
        </w:rPr>
        <w:t>A.</w:t>
        <w:tab/>
      </w:r>
      <w:r>
        <w:rPr>
          <w:b/>
          <w:bCs/>
          <w:u w:val="single"/>
        </w:rPr>
        <w:t>Party A Rounding Amount:</w:t>
      </w:r>
      <w:r>
        <w:rPr/>
        <w:tab/>
        <w:t>$250,000</w:t>
      </w:r>
    </w:p>
    <w:p>
      <w:pPr>
        <w:pStyle w:val="coverbody"/>
        <w:spacing w:before="0" w:after="0"/>
        <w:rPr/>
      </w:pPr>
      <w:r>
        <w:rPr/>
      </w:r>
    </w:p>
    <w:p>
      <w:pPr>
        <w:pStyle w:val="coverbody"/>
        <w:spacing w:before="0" w:after="0"/>
        <w:ind w:firstLine="720" w:end="0"/>
        <w:rPr/>
      </w:pPr>
      <w:r>
        <w:rPr>
          <w:b/>
          <w:bCs/>
        </w:rPr>
        <w:t>B.</w:t>
        <w:tab/>
      </w:r>
      <w:r>
        <w:rPr>
          <w:b/>
          <w:bCs/>
          <w:u w:val="single"/>
        </w:rPr>
        <w:t>Party B Rounding Amount:</w:t>
      </w:r>
      <w:r>
        <w:rPr/>
        <w:tab/>
        <w:t>$250,000</w:t>
      </w:r>
    </w:p>
    <w:p>
      <w:pPr>
        <w:pStyle w:val="coverbody"/>
        <w:spacing w:before="0" w:after="0"/>
        <w:rPr/>
      </w:pPr>
      <w:r>
        <w:rPr/>
      </w:r>
    </w:p>
    <w:p>
      <w:pPr>
        <w:pStyle w:val="coverbody"/>
        <w:spacing w:before="0" w:after="0"/>
        <w:rPr/>
      </w:pPr>
      <w:r>
        <w:rPr/>
      </w:r>
    </w:p>
    <w:p>
      <w:pPr>
        <w:pStyle w:val="coverbody"/>
        <w:spacing w:before="0" w:after="0"/>
        <w:rPr>
          <w:b/>
          <w:bCs/>
        </w:rPr>
      </w:pPr>
      <w:r>
        <w:rPr>
          <w:b/>
          <w:bCs/>
        </w:rPr>
        <w:t>VI.</w:t>
        <w:tab/>
      </w:r>
      <w:r>
        <w:rPr>
          <w:b/>
          <w:bCs/>
          <w:u w:val="single"/>
        </w:rPr>
        <w:t>Administration of Cash Collateral.</w:t>
      </w:r>
    </w:p>
    <w:p>
      <w:pPr>
        <w:pStyle w:val="coverbody"/>
        <w:spacing w:before="0" w:after="0"/>
        <w:rPr>
          <w:b/>
          <w:bCs/>
        </w:rPr>
      </w:pPr>
      <w:r>
        <w:rPr>
          <w:b/>
          <w:bCs/>
        </w:rPr>
      </w:r>
    </w:p>
    <w:p>
      <w:pPr>
        <w:pStyle w:val="coverbody"/>
        <w:spacing w:before="0" w:after="0"/>
        <w:rPr>
          <w:b/>
          <w:bCs/>
        </w:rPr>
      </w:pPr>
      <w:r>
        <w:rPr>
          <w:b/>
          <w:bCs/>
        </w:rPr>
        <w:tab/>
        <w:t>A.</w:t>
        <w:tab/>
      </w:r>
      <w:r>
        <w:rPr>
          <w:b/>
          <w:bCs/>
          <w:u w:val="single"/>
        </w:rPr>
        <w:t>Party A Eligibility to Hold Cash.</w:t>
      </w:r>
    </w:p>
    <w:p>
      <w:pPr>
        <w:pStyle w:val="coverbody"/>
        <w:spacing w:before="0" w:after="0"/>
        <w:rPr>
          <w:b/>
          <w:bCs/>
        </w:rPr>
      </w:pPr>
      <w:r>
        <w:rPr>
          <w:b/>
          <w:bCs/>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Party A shall not be entitled to hold Performance Assurance in the form of Cash.   Performance Assurance in the form of Cash shall be held in a Qualified Institution in accordance with the provisions of Paragraph 6(a)(ii)(B) of the Collateral Annex.  Party A shall pay to Party B in accordance with the terms of the Collateral Annex the amount of interest it receives from the Qualified Institution on any Performance Assurance in the form of Cash posted by Party B.</w:t>
      </w:r>
    </w:p>
    <w:p>
      <w:pPr>
        <w:pStyle w:val="coverbody"/>
        <w:spacing w:before="0" w:after="0"/>
        <w:ind w:start="1440" w:end="0"/>
        <w:rPr>
          <w:bCs/>
        </w:rPr>
      </w:pPr>
      <w:r>
        <w:rPr>
          <w:bCs/>
        </w:rPr>
      </w:r>
    </w:p>
    <w:p>
      <w:pPr>
        <w:pStyle w:val="Normal"/>
        <w:ind w:hanging="720" w:start="2160" w:end="0"/>
        <w:jc w:val="both"/>
        <w:rPr/>
      </w:pPr>
      <w:r>
        <w:rPr>
          <w:rFonts w:eastAsia="Wingdings 2" w:cs="Wingdings 2" w:ascii="Wingdings 2" w:hAnsi="Wingdings 2"/>
          <w:b/>
          <w:bCs/>
          <w:sz w:val="20"/>
        </w:rPr>
        <w:sym w:font="Wingdings 2" w:char="f02a"/>
      </w:r>
      <w:r>
        <w:rPr>
          <w:b/>
          <w:bCs/>
          <w:sz w:val="20"/>
        </w:rPr>
        <w:tab/>
      </w:r>
      <w:r>
        <w:rPr>
          <w:bCs/>
          <w:sz w:val="20"/>
        </w:rPr>
        <w:t xml:space="preserve">Party A shall be entitled to hold Performance Assurance in the form of Cash </w:t>
      </w:r>
      <w:r>
        <w:rPr>
          <w:sz w:val="20"/>
        </w:rPr>
        <w:t>provided that the following conditions are satisfied:  (1) it is not a Defaulting Party, (2), [Party A] [Party A’s Guarantor] has a Credit Rating from ______ and the lowest Credit Rating for [Party A] [Party A’s Guarantor] is ___________ or higher from ___________; (3) Cash shall be held only in any jurisdiction within the United States; and (4) [</w:t>
      </w:r>
      <w:r>
        <w:rPr>
          <w:sz w:val="20"/>
          <w:u w:val="single"/>
        </w:rPr>
        <w:t>other, if any</w:t>
      </w:r>
      <w:r>
        <w:rPr>
          <w:sz w:val="20"/>
        </w:rPr>
        <w:t>].    To the extent Party A is entitled to hold Cash, the Interest Rate payable to Party B on Cash shall be as selected below:</w:t>
      </w:r>
    </w:p>
    <w:p>
      <w:pPr>
        <w:pStyle w:val="coverbody"/>
        <w:spacing w:before="0" w:after="0"/>
        <w:rPr>
          <w:bCs/>
          <w:sz w:val="20"/>
        </w:rPr>
      </w:pPr>
      <w:r>
        <w:rPr>
          <w:bCs/>
          <w:sz w:val="20"/>
        </w:rPr>
      </w:r>
    </w:p>
    <w:p>
      <w:pPr>
        <w:pStyle w:val="coverbody"/>
        <w:spacing w:before="0" w:after="0"/>
        <w:ind w:firstLine="720" w:start="2160" w:end="0"/>
        <w:rPr>
          <w:b/>
          <w:bCs/>
        </w:rPr>
      </w:pPr>
      <w:r>
        <w:rPr>
          <w:b/>
          <w:bCs/>
          <w:u w:val="single"/>
        </w:rPr>
        <w:t>Party A Interest Rate.</w:t>
      </w:r>
    </w:p>
    <w:p>
      <w:pPr>
        <w:pStyle w:val="Normal"/>
        <w:jc w:val="both"/>
        <w:rPr>
          <w:b/>
          <w:bCs/>
          <w:sz w:val="20"/>
        </w:rPr>
      </w:pPr>
      <w:r>
        <w:rPr>
          <w:b/>
          <w:bCs/>
          <w:sz w:val="20"/>
        </w:rPr>
      </w:r>
    </w:p>
    <w:p>
      <w:pPr>
        <w:pStyle w:val="Normal"/>
        <w:ind w:hanging="720" w:start="3600" w:end="0"/>
        <w:jc w:val="both"/>
        <w:rPr/>
      </w:pPr>
      <w:r>
        <w:rPr>
          <w:rFonts w:eastAsia="Wingdings 2" w:cs="Wingdings 2" w:ascii="Wingdings 2" w:hAnsi="Wingdings 2"/>
          <w:b/>
          <w:bCs/>
          <w:sz w:val="20"/>
        </w:rPr>
        <w:sym w:font="Wingdings 2" w:char="f02a"/>
      </w:r>
      <w:r>
        <w:rPr>
          <w:b/>
          <w:bCs/>
          <w:sz w:val="20"/>
        </w:rPr>
        <w:tab/>
      </w:r>
      <w:r>
        <w:rPr>
          <w:sz w:val="20"/>
        </w:rPr>
        <w:t>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coverbody"/>
        <w:spacing w:before="0" w:after="0"/>
        <w:rPr>
          <w:sz w:val="20"/>
        </w:rPr>
      </w:pPr>
      <w:r>
        <w:rPr>
          <w:sz w:val="20"/>
        </w:rPr>
      </w:r>
    </w:p>
    <w:p>
      <w:pPr>
        <w:pStyle w:val="coverbody"/>
        <w:spacing w:before="0" w:after="0"/>
        <w:ind w:firstLine="720" w:start="2160" w:end="0"/>
        <w:rPr/>
      </w:pPr>
      <w:r>
        <w:rPr>
          <w:rFonts w:eastAsia="Wingdings 2" w:cs="Wingdings 2" w:ascii="Wingdings 2" w:hAnsi="Wingdings 2"/>
          <w:b/>
          <w:bCs/>
        </w:rPr>
        <w:sym w:font="Wingdings 2" w:char="f02a"/>
      </w:r>
      <w:r>
        <w:rPr>
          <w:b/>
          <w:bCs/>
        </w:rPr>
        <w:tab/>
      </w:r>
      <w:r>
        <w:rPr/>
        <w:t>Other - ____________</w:t>
      </w:r>
    </w:p>
    <w:p>
      <w:pPr>
        <w:pStyle w:val="coverbody"/>
        <w:spacing w:before="0" w:after="0"/>
        <w:rPr>
          <w:b/>
          <w:bCs/>
        </w:rPr>
      </w:pPr>
      <w:r>
        <w:rPr>
          <w:b/>
          <w:bCs/>
        </w:rPr>
      </w:r>
    </w:p>
    <w:p>
      <w:pPr>
        <w:pStyle w:val="coverbody"/>
        <w:spacing w:before="0" w:after="0"/>
        <w:ind w:firstLine="720" w:end="0"/>
        <w:rPr>
          <w:b/>
          <w:bCs/>
        </w:rPr>
      </w:pPr>
      <w:r>
        <w:rPr>
          <w:b/>
          <w:bCs/>
        </w:rPr>
        <w:t>B.</w:t>
        <w:tab/>
      </w:r>
      <w:r>
        <w:rPr>
          <w:b/>
          <w:bCs/>
          <w:u w:val="single"/>
        </w:rPr>
        <w:t>Party B Eligibility to Hold Cash.</w:t>
      </w:r>
    </w:p>
    <w:p>
      <w:pPr>
        <w:pStyle w:val="coverbody"/>
        <w:spacing w:before="0" w:after="0"/>
        <w:rPr>
          <w:b/>
          <w:bCs/>
        </w:rPr>
      </w:pPr>
      <w:r>
        <w:rPr>
          <w:b/>
          <w:bCs/>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Party B shall not be entitled to hold Performance Assurance in the form of Cash.  Performance Assurance in the form of Cash shall be held in a Qualified Institution in accordance with the provisions of Paragraph 6(a)(ii)(B) of the Collateral Annex.  Party B shall pay to Party A in accordance with the terms of the Collateral Annex the amount of interest it receives from the Qualified Institution on any Performance Assurance in the form of Cash posted by Party A.</w:t>
      </w:r>
    </w:p>
    <w:p>
      <w:pPr>
        <w:pStyle w:val="coverbody"/>
        <w:spacing w:before="0" w:after="0"/>
        <w:ind w:start="1440" w:end="0"/>
        <w:rPr>
          <w:bCs/>
        </w:rPr>
      </w:pPr>
      <w:r>
        <w:rPr>
          <w:bCs/>
        </w:rPr>
      </w:r>
    </w:p>
    <w:p>
      <w:pPr>
        <w:pStyle w:val="coverbody"/>
        <w:spacing w:before="0" w:after="0"/>
        <w:ind w:hanging="720" w:start="2160" w:end="0"/>
        <w:rPr>
          <w:bCs/>
        </w:rPr>
      </w:pPr>
      <w:r>
        <w:rPr>
          <w:bCs/>
        </w:rPr>
      </w:r>
    </w:p>
    <w:p>
      <w:pPr>
        <w:pStyle w:val="coverbody"/>
        <w:spacing w:before="0" w:after="0"/>
        <w:ind w:start="1440" w:end="0"/>
        <w:rPr>
          <w:bCs/>
        </w:rPr>
      </w:pPr>
      <w:r>
        <w:rPr>
          <w:bCs/>
        </w:rPr>
      </w:r>
    </w:p>
    <w:p>
      <w:pPr>
        <w:pStyle w:val="Normal"/>
        <w:ind w:hanging="720" w:start="2160" w:end="0"/>
        <w:jc w:val="both"/>
        <w:rPr/>
      </w:pPr>
      <w:r>
        <w:rPr>
          <w:rFonts w:eastAsia="Wingdings 2" w:cs="Wingdings 2" w:ascii="Wingdings 2" w:hAnsi="Wingdings 2"/>
          <w:b/>
          <w:bCs/>
          <w:sz w:val="20"/>
        </w:rPr>
        <w:sym w:font="Wingdings 2" w:char="f02a"/>
      </w:r>
      <w:r>
        <w:rPr>
          <w:b/>
          <w:bCs/>
          <w:sz w:val="20"/>
        </w:rPr>
        <w:tab/>
      </w:r>
      <w:r>
        <w:rPr>
          <w:bCs/>
          <w:sz w:val="20"/>
        </w:rPr>
        <w:t xml:space="preserve">Party B shall be entitled to hold Performance Assurance in the form of Cash </w:t>
      </w:r>
      <w:r>
        <w:rPr>
          <w:sz w:val="20"/>
        </w:rPr>
        <w:t>provided that the following conditions are satisfied:  (1) it is not a Defaulting Party, (2), [Party B] [Party B’s Guarantor] has a Credit Rating from ______ and the lowest Credit Rating for [Party B] [Party B’s Guarantor] is ___________ or higher from ___________; (3) Cash shall be held only in any jurisdiction within the United States; and (4) [</w:t>
      </w:r>
      <w:r>
        <w:rPr>
          <w:sz w:val="20"/>
          <w:u w:val="single"/>
        </w:rPr>
        <w:t>other, if any</w:t>
      </w:r>
      <w:r>
        <w:rPr>
          <w:sz w:val="20"/>
        </w:rPr>
        <w:t>].    To the extent Party B is entitled to hold Cash, the Interest Rate payable to Party A on Cash shall be as selected below:</w:t>
      </w:r>
    </w:p>
    <w:p>
      <w:pPr>
        <w:pStyle w:val="Normal"/>
        <w:ind w:hanging="720" w:start="2880" w:end="0"/>
        <w:jc w:val="both"/>
        <w:rPr>
          <w:sz w:val="20"/>
        </w:rPr>
      </w:pPr>
      <w:r>
        <w:rPr>
          <w:sz w:val="20"/>
        </w:rPr>
      </w:r>
    </w:p>
    <w:p>
      <w:pPr>
        <w:pStyle w:val="coverbody"/>
        <w:spacing w:before="0" w:after="0"/>
        <w:ind w:firstLine="720" w:start="2160" w:end="0"/>
        <w:rPr>
          <w:b/>
          <w:bCs/>
        </w:rPr>
      </w:pPr>
      <w:r>
        <w:rPr>
          <w:b/>
          <w:bCs/>
          <w:u w:val="single"/>
        </w:rPr>
        <w:t>Party B Interest Rate.</w:t>
      </w:r>
    </w:p>
    <w:p>
      <w:pPr>
        <w:pStyle w:val="coverbody"/>
        <w:spacing w:before="0" w:after="0"/>
        <w:rPr>
          <w:b/>
          <w:bCs/>
        </w:rPr>
      </w:pPr>
      <w:r>
        <w:rPr>
          <w:b/>
          <w:bCs/>
        </w:rPr>
      </w:r>
    </w:p>
    <w:p>
      <w:pPr>
        <w:pStyle w:val="Normal"/>
        <w:ind w:hanging="720" w:start="3600" w:end="0"/>
        <w:jc w:val="both"/>
        <w:rPr/>
      </w:pPr>
      <w:r>
        <w:rPr>
          <w:rFonts w:eastAsia="Wingdings 2" w:cs="Wingdings 2" w:ascii="Wingdings 2" w:hAnsi="Wingdings 2"/>
          <w:b/>
          <w:bCs/>
          <w:sz w:val="20"/>
        </w:rPr>
        <w:sym w:font="Wingdings 2" w:char="f02a"/>
      </w:r>
      <w:r>
        <w:rPr>
          <w:b/>
          <w:bCs/>
          <w:sz w:val="20"/>
        </w:rPr>
        <w:tab/>
      </w:r>
      <w:r>
        <w:rPr>
          <w:sz w:val="20"/>
        </w:rPr>
        <w:t>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coverbody"/>
        <w:spacing w:before="0" w:after="0"/>
        <w:rPr>
          <w:sz w:val="20"/>
        </w:rPr>
      </w:pPr>
      <w:r>
        <w:rPr>
          <w:sz w:val="20"/>
        </w:rPr>
      </w:r>
    </w:p>
    <w:p>
      <w:pPr>
        <w:pStyle w:val="coverbody"/>
        <w:spacing w:before="0" w:after="0"/>
        <w:ind w:firstLine="720" w:start="2160" w:end="0"/>
        <w:rPr/>
      </w:pPr>
      <w:r>
        <w:rPr>
          <w:rFonts w:eastAsia="Wingdings 2" w:cs="Wingdings 2" w:ascii="Wingdings 2" w:hAnsi="Wingdings 2"/>
          <w:b/>
          <w:bCs/>
        </w:rPr>
        <w:sym w:font="Wingdings 2" w:char="f02a"/>
      </w:r>
      <w:r>
        <w:rPr>
          <w:b/>
          <w:bCs/>
        </w:rPr>
        <w:tab/>
      </w:r>
      <w:r>
        <w:rPr/>
        <w:t>Other - ____________</w:t>
      </w:r>
    </w:p>
    <w:p>
      <w:pPr>
        <w:pStyle w:val="coverbody"/>
        <w:spacing w:before="0" w:after="0"/>
        <w:rPr>
          <w:b/>
        </w:rPr>
      </w:pPr>
      <w:r>
        <w:rPr>
          <w:b/>
        </w:rPr>
      </w:r>
    </w:p>
    <w:p>
      <w:pPr>
        <w:pStyle w:val="coverbody"/>
        <w:spacing w:before="0" w:after="0"/>
        <w:rPr>
          <w:b/>
        </w:rPr>
      </w:pPr>
      <w:r>
        <w:rPr>
          <w:b/>
        </w:rPr>
      </w:r>
    </w:p>
    <w:p>
      <w:pPr>
        <w:pStyle w:val="coverbody"/>
        <w:spacing w:before="0" w:after="0"/>
        <w:rPr>
          <w:b/>
        </w:rPr>
      </w:pPr>
      <w:r>
        <w:rPr>
          <w:b/>
        </w:rPr>
        <w:t>VII.</w:t>
        <w:tab/>
      </w:r>
      <w:r>
        <w:rPr>
          <w:b/>
          <w:u w:val="single"/>
        </w:rPr>
        <w:t>Notification Time.</w:t>
      </w:r>
    </w:p>
    <w:p>
      <w:pPr>
        <w:pStyle w:val="coverbody"/>
        <w:spacing w:before="0" w:after="0"/>
        <w:rPr>
          <w:b/>
          <w:bCs/>
        </w:rPr>
      </w:pPr>
      <w:r>
        <w:rPr>
          <w:b/>
          <w:bCs/>
        </w:rPr>
      </w:r>
    </w:p>
    <w:p>
      <w:pPr>
        <w:pStyle w:val="coverbody"/>
        <w:spacing w:before="0" w:after="0"/>
        <w:ind w:firstLine="720" w:end="0"/>
        <w:rPr/>
      </w:pPr>
      <w:r>
        <w:rPr>
          <w:rFonts w:eastAsia="Wingdings 2" w:cs="Wingdings 2" w:ascii="Wingdings 2" w:hAnsi="Wingdings 2"/>
          <w:b/>
          <w:bCs/>
        </w:rPr>
        <w:sym w:font="Wingdings 2" w:char="f02a"/>
      </w:r>
      <w:r>
        <w:rPr>
          <w:b/>
          <w:bCs/>
        </w:rPr>
        <w:tab/>
      </w:r>
      <w:r>
        <w:rPr/>
        <w:t>Other - ____________</w:t>
      </w:r>
    </w:p>
    <w:p>
      <w:pPr>
        <w:pStyle w:val="coverbody"/>
        <w:spacing w:before="0" w:after="0"/>
        <w:rPr>
          <w:b/>
        </w:rPr>
      </w:pPr>
      <w:r>
        <w:rPr>
          <w:b/>
        </w:rPr>
      </w:r>
    </w:p>
    <w:p>
      <w:pPr>
        <w:pStyle w:val="coverbody"/>
        <w:spacing w:before="0" w:after="0"/>
        <w:rPr>
          <w:b/>
        </w:rPr>
      </w:pPr>
      <w:r>
        <w:rPr>
          <w:b/>
        </w:rPr>
      </w:r>
    </w:p>
    <w:p>
      <w:pPr>
        <w:pStyle w:val="coverbody"/>
        <w:spacing w:before="0" w:after="0"/>
        <w:rPr>
          <w:b/>
        </w:rPr>
      </w:pPr>
      <w:r>
        <w:rPr>
          <w:b/>
        </w:rPr>
        <w:t>VIII.</w:t>
        <w:tab/>
      </w:r>
      <w:r>
        <w:rPr>
          <w:b/>
          <w:u w:val="single"/>
        </w:rPr>
        <w:t>General.</w:t>
      </w:r>
    </w:p>
    <w:p>
      <w:pPr>
        <w:pStyle w:val="coverbody"/>
        <w:spacing w:before="0" w:after="0"/>
        <w:rPr>
          <w:b/>
        </w:rPr>
      </w:pPr>
      <w:r>
        <w:rPr>
          <w:b/>
        </w:rPr>
      </w:r>
    </w:p>
    <w:p>
      <w:pPr>
        <w:pStyle w:val="coverbody"/>
        <w:spacing w:before="0" w:after="0"/>
        <w:ind w:start="720" w:end="0"/>
        <w:rPr>
          <w:b/>
        </w:rPr>
      </w:pPr>
      <w:r>
        <w:rPr>
          <w:b/>
        </w:rPr>
        <w:t xml:space="preserve">With respect to the Collateral Threshold, Independent Amount, Minimum Transfer Amount and Rounding Amount, if no selection is made in this Cover Sheet with respect to a Party, then the applicable amount in each case for such Party shall be zero (0).  In addition, with respect to the “Administration of Cash Collateral” section of this Paragraph 10, if no selection is made with respect to a Party, then such Party shall not be entitled to hold Performance Assurance in the form of Cash and such Cash, if any, shall be held in a Qualified Institution pursuant to Paragraph 6(a)(ii)(B) of the Collateral Annex.    If a Party is eligible to hold Cash pursuant to a selection in this Paragraph 10 but no Interest Rate is selected, then the Interest Rate for such Party shall be the Federal Funds Effective Rate as defined in Section VI of this Paragraph 10. </w:t>
      </w:r>
    </w:p>
    <w:p>
      <w:pPr>
        <w:pStyle w:val="coverbody"/>
        <w:spacing w:before="0" w:after="0"/>
        <w:rPr>
          <w:b/>
        </w:rPr>
      </w:pPr>
      <w:r>
        <w:rPr>
          <w:b/>
        </w:rPr>
      </w:r>
    </w:p>
    <w:sectPr>
      <w:footerReference w:type="default" r:id="rId2"/>
      <w:type w:val="nextPage"/>
      <w:pgSz w:w="12240" w:h="15840"/>
      <w:pgMar w:left="1296" w:right="1440"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2">
    <w:charset w:val="0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/mnt/main-storage/datasets/enron-docs/doc/NETCO_EEI_Collateral_Annex_Cover_Sheet_Version_11.doc</w:t>
    </w:r>
    <w:r>
      <w:rPr>
        <w:rStyle w:val="PageNumber"/>
        <w:sz w:val="16"/>
      </w:rPr>
      <w:fldChar w:fldCharType="end"/>
    </w:r>
  </w:p>
  <w:p>
    <w:pPr>
      <w:pStyle w:val="Footer"/>
      <w:jc w:val="center"/>
      <w:rPr/>
    </w:pPr>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r>
      <w:rPr>
        <w:rStyle w:val="PageNumber"/>
        <w:sz w:val="18"/>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1440"/>
        </w:tabs>
        <w:ind w:start="1440" w:hanging="720"/>
      </w:pPr>
      <w:rPr/>
    </w:lvl>
  </w:abstractNum>
  <w:abstractNum w:abstractNumId="13">
    <w:lvl w:ilvl="0">
      <w:start w:val="1"/>
      <w:numFmt w:val="bullet"/>
      <w:lvlText w:val=""/>
      <w:lvlJc w:val="start"/>
      <w:pPr>
        <w:tabs>
          <w:tab w:val="num" w:pos="2160"/>
        </w:tabs>
        <w:ind w:start="2160" w:hanging="720"/>
      </w:pPr>
      <w:rPr>
        <w:rFonts w:ascii="Wingdings 2" w:hAnsi="Wingdings 2" w:cs="Wingdings 2" w:hint="default"/>
        <w:b/>
      </w:rPr>
    </w:lvl>
  </w:abstractNum>
  <w:abstractNum w:abstractNumId="14">
    <w:lvl w:ilvl="0">
      <w:start w:val="1"/>
      <w:numFmt w:val="upperLetter"/>
      <w:lvlText w:val="%1."/>
      <w:lvlJc w:val="start"/>
      <w:pPr>
        <w:tabs>
          <w:tab w:val="num" w:pos="1440"/>
        </w:tabs>
        <w:ind w:start="1440" w:hanging="720"/>
      </w:pPr>
      <w:rPr>
        <w:i w:val="false"/>
        <w:u w:val="none"/>
        <w:b/>
      </w:rPr>
    </w:lvl>
  </w:abstractNum>
  <w:abstractNum w:abstractNumId="15">
    <w:lvl w:ilvl="0">
      <w:start w:val="1"/>
      <w:numFmt w:val="upperRoman"/>
      <w:lvlText w:val="%1."/>
      <w:lvlJc w:val="start"/>
      <w:pPr>
        <w:tabs>
          <w:tab w:val="num" w:pos="1440"/>
        </w:tabs>
        <w:ind w:start="1440" w:hanging="720"/>
      </w:pPr>
      <w:rPr>
        <w:i w:val="false"/>
        <w:b/>
      </w:rPr>
    </w:lvl>
  </w:abstractNum>
  <w:abstractNum w:abstractNumId="16">
    <w:lvl w:ilvl="0">
      <w:start w:val="2"/>
      <w:numFmt w:val="upperLetter"/>
      <w:lvlText w:val="%1."/>
      <w:lvlJc w:val="start"/>
      <w:pPr>
        <w:tabs>
          <w:tab w:val="num" w:pos="1440"/>
        </w:tabs>
        <w:ind w:start="1440" w:hanging="720"/>
      </w:pPr>
      <w:rPr/>
    </w:lvl>
  </w:abstractNum>
  <w:abstractNum w:abstractNumId="17">
    <w:lvl w:ilvl="0">
      <w:start w:val="2"/>
      <w:numFmt w:val="upperLetter"/>
      <w:lvlText w:val="%1."/>
      <w:lvlJc w:val="start"/>
      <w:pPr>
        <w:tabs>
          <w:tab w:val="num" w:pos="1440"/>
        </w:tabs>
        <w:ind w:start="1440" w:hanging="720"/>
      </w:pPr>
      <w:rPr>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Normal"/>
    <w:qFormat/>
    <w:pPr>
      <w:widowControl w:val="false"/>
      <w:spacing w:before="240" w:after="60"/>
      <w:outlineLvl w:val="7"/>
    </w:pPr>
    <w:rPr>
      <w:rFonts w:ascii="Arial" w:hAnsi="Arial" w:cs="Arial"/>
      <w:i/>
      <w:sz w:val="20"/>
      <w:szCs w:val="20"/>
    </w:rPr>
  </w:style>
  <w:style w:type="paragraph" w:styleId="Heading9">
    <w:name w:val="heading 9"/>
    <w:basedOn w:val="Normal"/>
    <w:next w:val="Normal"/>
    <w:qFormat/>
    <w:pPr>
      <w:widowControl w:val="false"/>
      <w:spacing w:before="240" w:after="60"/>
      <w:outlineLvl w:val="8"/>
    </w:pPr>
    <w:rPr>
      <w:rFonts w:ascii="Arial" w:hAnsi="Arial" w:cs="Arial"/>
      <w:b/>
      <w:i/>
      <w:sz w:val="18"/>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z w:val="20"/>
    </w:rPr>
  </w:style>
  <w:style w:type="character" w:styleId="WW8Num12z0">
    <w:name w:val="WW8Num12z0"/>
    <w:qFormat/>
    <w:rPr/>
  </w:style>
  <w:style w:type="character" w:styleId="WW8Num13z0">
    <w:name w:val="WW8Num13z0"/>
    <w:qFormat/>
    <w:rPr>
      <w:b/>
    </w:rPr>
  </w:style>
  <w:style w:type="character" w:styleId="WW8Num14z0">
    <w:name w:val="WW8Num14z0"/>
    <w:qFormat/>
    <w:rPr/>
  </w:style>
  <w:style w:type="character" w:styleId="WW8Num16z0">
    <w:name w:val="WW8Num16z0"/>
    <w:qFormat/>
    <w:rPr/>
  </w:style>
  <w:style w:type="character" w:styleId="WW8Num17z0">
    <w:name w:val="WW8Num17z0"/>
    <w:qFormat/>
    <w:rPr>
      <w:b/>
      <w:sz w:val="22"/>
    </w:rPr>
  </w:style>
  <w:style w:type="character" w:styleId="WW8Num18z0">
    <w:name w:val="WW8Num18z0"/>
    <w:qFormat/>
    <w:rPr>
      <w:rFonts w:ascii="Wingdings 2" w:hAnsi="Wingdings 2"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b/>
      <w:sz w:val="22"/>
    </w:rPr>
  </w:style>
  <w:style w:type="character" w:styleId="WW8Num20z0">
    <w:name w:val="WW8Num20z0"/>
    <w:qFormat/>
    <w:rPr>
      <w:rFonts w:ascii="Wingdings 2" w:hAnsi="Wingdings 2" w:eastAsia="Times New Roman" w:cs="Times New Roman"/>
      <w:b/>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style>
  <w:style w:type="character" w:styleId="WW8Num22z0">
    <w:name w:val="WW8Num22z0"/>
    <w:qFormat/>
    <w:rPr>
      <w:rFonts w:ascii="Wingdings 2" w:hAnsi="Wingdings 2" w:eastAsia="Times New Roman" w:cs="Times New Roman"/>
      <w:b/>
      <w:sz w:val="32"/>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b w:val="false"/>
    </w:rPr>
  </w:style>
  <w:style w:type="character" w:styleId="WW8Num24z0">
    <w:name w:val="WW8Num24z0"/>
    <w:qFormat/>
    <w:rPr/>
  </w:style>
  <w:style w:type="character" w:styleId="WW8Num25z0">
    <w:name w:val="WW8Num25z0"/>
    <w:qFormat/>
    <w:rPr/>
  </w:style>
  <w:style w:type="character" w:styleId="WW8Num27z0">
    <w:name w:val="WW8Num27z0"/>
    <w:qFormat/>
    <w:rPr/>
  </w:style>
  <w:style w:type="character" w:styleId="WW8Num28z0">
    <w:name w:val="WW8Num28z0"/>
    <w:qFormat/>
    <w:rPr>
      <w:rFonts w:ascii="Wingdings 2" w:hAnsi="Wingdings 2" w:eastAsia="Times New Roman" w:cs="Times New Roman"/>
      <w:b/>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style>
  <w:style w:type="character" w:styleId="WW8Num29z1">
    <w:name w:val="WW8Num29z1"/>
    <w:qFormat/>
    <w:rPr>
      <w:rFonts w:ascii="Times New Roman" w:hAnsi="Times New Roman" w:cs="Times New Roman"/>
      <w:b w:val="false"/>
      <w:i w:val="false"/>
      <w:sz w:val="24"/>
      <w:u w:val="none"/>
    </w:rPr>
  </w:style>
  <w:style w:type="character" w:styleId="WW8Num29z2">
    <w:name w:val="WW8Num29z2"/>
    <w:qFormat/>
    <w:rPr>
      <w:rFonts w:ascii="Times New Roman" w:hAnsi="Times New Roman" w:cs="Times New Roman"/>
      <w:b w:val="false"/>
      <w:i w:val="false"/>
      <w:sz w:val="24"/>
    </w:rPr>
  </w:style>
  <w:style w:type="character" w:styleId="WW8Num29z5">
    <w:name w:val="WW8Num29z5"/>
    <w:qFormat/>
    <w:rPr>
      <w:rFonts w:ascii="Times New Roman" w:hAnsi="Times New Roman" w:cs="Times New Roman"/>
      <w:b/>
      <w:i w:val="false"/>
      <w:sz w:val="24"/>
      <w:u w:val="none"/>
    </w:rPr>
  </w:style>
  <w:style w:type="character" w:styleId="WW8Num30z0">
    <w:name w:val="WW8Num30z0"/>
    <w:qFormat/>
    <w:rPr>
      <w:rFonts w:ascii="Wingdings 2" w:hAnsi="Wingdings 2" w:eastAsia="Times New Roman" w:cs="Times New Roman"/>
      <w:b/>
      <w:sz w:val="32"/>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3z0">
    <w:name w:val="WW8Num33z0"/>
    <w:qFormat/>
    <w:rPr>
      <w:b/>
    </w:rPr>
  </w:style>
  <w:style w:type="character" w:styleId="WW8Num34z0">
    <w:name w:val="WW8Num34z0"/>
    <w:qFormat/>
    <w:rPr>
      <w:b/>
      <w:i w:val="false"/>
      <w:u w:val="none"/>
    </w:rPr>
  </w:style>
  <w:style w:type="character" w:styleId="WW8Num35z0">
    <w:name w:val="WW8Num35z0"/>
    <w:qFormat/>
    <w:rPr/>
  </w:style>
  <w:style w:type="character" w:styleId="WW8Num36z0">
    <w:name w:val="WW8Num36z0"/>
    <w:qFormat/>
    <w:rPr>
      <w:b w:val="false"/>
      <w:i w:val="false"/>
    </w:rPr>
  </w:style>
  <w:style w:type="character" w:styleId="WW8Num37z0">
    <w:name w:val="WW8Num37z0"/>
    <w:qFormat/>
    <w:rPr/>
  </w:style>
  <w:style w:type="character" w:styleId="WW8Num38z0">
    <w:name w:val="WW8Num38z0"/>
    <w:qFormat/>
    <w:rPr>
      <w:b/>
      <w:i w:val="false"/>
    </w:rPr>
  </w:style>
  <w:style w:type="character" w:styleId="WW8Num38z1">
    <w:name w:val="WW8Num38z1"/>
    <w:qFormat/>
    <w:rPr/>
  </w:style>
  <w:style w:type="character" w:styleId="WW8Num40z0">
    <w:name w:val="WW8Num40z0"/>
    <w:qFormat/>
    <w:rPr/>
  </w:style>
  <w:style w:type="character" w:styleId="WW8Num43z0">
    <w:name w:val="WW8Num43z0"/>
    <w:qFormat/>
    <w:rPr/>
  </w:style>
  <w:style w:type="character" w:styleId="WW8Num44z0">
    <w:name w:val="WW8Num44z0"/>
    <w:qFormat/>
    <w:rPr/>
  </w:style>
  <w:style w:type="character" w:styleId="WW8Num44z1">
    <w:name w:val="WW8Num44z1"/>
    <w:qFormat/>
    <w:rPr>
      <w:rFonts w:ascii="Times New Roman" w:hAnsi="Times New Roman" w:cs="Times New Roman"/>
      <w:b w:val="false"/>
      <w:i w:val="false"/>
      <w:sz w:val="24"/>
      <w:u w:val="none"/>
    </w:rPr>
  </w:style>
  <w:style w:type="character" w:styleId="WW8Num44z2">
    <w:name w:val="WW8Num44z2"/>
    <w:qFormat/>
    <w:rPr>
      <w:rFonts w:ascii="Times New Roman" w:hAnsi="Times New Roman" w:cs="Times New Roman"/>
      <w:b w:val="false"/>
      <w:i w:val="false"/>
      <w:sz w:val="24"/>
    </w:rPr>
  </w:style>
  <w:style w:type="character" w:styleId="WW8Num44z5">
    <w:name w:val="WW8Num44z5"/>
    <w:qFormat/>
    <w:rPr>
      <w:rFonts w:ascii="Times New Roman" w:hAnsi="Times New Roman" w:cs="Times New Roman"/>
      <w:b/>
      <w:i w:val="false"/>
      <w:sz w:val="24"/>
      <w:u w:val="none"/>
    </w:rPr>
  </w:style>
  <w:style w:type="character" w:styleId="WW8Num45z0">
    <w:name w:val="WW8Num45z0"/>
    <w:qFormat/>
    <w:rPr/>
  </w:style>
  <w:style w:type="character" w:styleId="WW8Num46z0">
    <w:name w:val="WW8Num46z0"/>
    <w:qFormat/>
    <w:rPr>
      <w:rFonts w:ascii="Times New Roman" w:hAnsi="Times New Roman" w:cs="Times New Roman"/>
      <w:b/>
      <w:i w:val="false"/>
      <w:caps/>
      <w:sz w:val="24"/>
    </w:rPr>
  </w:style>
  <w:style w:type="character" w:styleId="WW8Num46z1">
    <w:name w:val="WW8Num46z1"/>
    <w:qFormat/>
    <w:rPr>
      <w:rFonts w:ascii="Times New Roman" w:hAnsi="Times New Roman" w:cs="Times New Roman"/>
      <w:b w:val="false"/>
      <w:i w:val="false"/>
      <w:sz w:val="24"/>
      <w:u w:val="none"/>
    </w:rPr>
  </w:style>
  <w:style w:type="character" w:styleId="WW8Num46z2">
    <w:name w:val="WW8Num46z2"/>
    <w:qFormat/>
    <w:rPr>
      <w:rFonts w:ascii="Times New Roman" w:hAnsi="Times New Roman" w:cs="Times New Roman"/>
      <w:b w:val="false"/>
      <w:i w:val="false"/>
      <w:sz w:val="24"/>
    </w:rPr>
  </w:style>
  <w:style w:type="character" w:styleId="WW8Num46z5">
    <w:name w:val="WW8Num46z5"/>
    <w:qFormat/>
    <w:rPr>
      <w:rFonts w:ascii="Times New Roman" w:hAnsi="Times New Roman" w:cs="Times New Roman"/>
      <w:b/>
      <w:i w:val="false"/>
      <w:sz w:val="24"/>
      <w:u w:val="none"/>
    </w:rPr>
  </w:style>
  <w:style w:type="character" w:styleId="WW8Num47z0">
    <w:name w:val="WW8Num47z0"/>
    <w:qFormat/>
    <w:rPr>
      <w:b/>
      <w:i w:val="false"/>
    </w:rPr>
  </w:style>
  <w:style w:type="character" w:styleId="WW8Num48z0">
    <w:name w:val="WW8Num48z0"/>
    <w:qFormat/>
    <w:rPr/>
  </w:style>
  <w:style w:type="character" w:styleId="WW8Num49z0">
    <w:name w:val="WW8Num49z0"/>
    <w:qFormat/>
    <w:rPr>
      <w:b w:val="false"/>
    </w:rPr>
  </w:style>
  <w:style w:type="character" w:styleId="WW8Num50z0">
    <w:name w:val="WW8Num50z0"/>
    <w:qFormat/>
    <w:rPr/>
  </w:style>
  <w:style w:type="character" w:styleId="WW8Num51z0">
    <w:name w:val="WW8Num51z0"/>
    <w:qFormat/>
    <w:rPr>
      <w:rFonts w:ascii="Wingdings 2" w:hAnsi="Wingdings 2" w:eastAsia="Times New Roman" w:cs="Times New Roman"/>
      <w:b/>
      <w:sz w:val="32"/>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2z0">
    <w:name w:val="WW8Num52z0"/>
    <w:qFormat/>
    <w:rPr>
      <w:rFonts w:ascii="Wingdings 2" w:hAnsi="Wingdings 2" w:eastAsia="Times New Roman" w:cs="Times New Roman"/>
      <w:b/>
      <w:sz w:val="32"/>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4z0">
    <w:name w:val="WW8Num54z0"/>
    <w:qFormat/>
    <w:rPr/>
  </w:style>
  <w:style w:type="character" w:styleId="WW8Num55z0">
    <w:name w:val="WW8Num55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2002-01-11T16:48:00Z</dcterms:created>
  <dc:creator>jmoore2</dc:creator>
  <dc:description/>
  <dc:language>en-CA</dc:language>
  <cp:lastModifiedBy>leslie hansen</cp:lastModifiedBy>
  <cp:lastPrinted>2002-01-04T09:43:00Z</cp:lastPrinted>
  <dcterms:modified xsi:type="dcterms:W3CDTF">2002-01-11T16:48:00Z</dcterms:modified>
  <cp:revision>2</cp:revision>
  <dc:subject/>
  <dc:title>MASTER POWER PURCHASE AND SALE AGREEMENT</dc:title>
</cp:coreProperties>
</file>