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center"/>
        <w:rPr>
          <w:u w:val="single"/>
        </w:rPr>
      </w:pPr>
      <w:r>
        <w:rPr>
          <w:u w:val="single"/>
        </w:rPr>
        <w:t>NETCO – Employee briefing</w:t>
      </w:r>
    </w:p>
    <w:p>
      <w:pPr>
        <w:pStyle w:val="Heading1"/>
        <w:ind w:hanging="0" w:start="0"/>
        <w:rPr>
          <w:u w:val="single"/>
        </w:rPr>
      </w:pPr>
      <w:r>
        <w:rPr>
          <w:u w:val="single"/>
        </w:rPr>
      </w:r>
    </w:p>
    <w:p>
      <w:pPr>
        <w:pStyle w:val="Heading1"/>
        <w:ind w:hanging="0" w:start="0"/>
        <w:rPr/>
      </w:pPr>
      <w:r>
        <w:rPr/>
        <w:t>The Business Proposition</w:t>
      </w:r>
    </w:p>
    <w:p>
      <w:pPr>
        <w:pStyle w:val="Normal"/>
        <w:rPr/>
      </w:pPr>
      <w:r>
        <w:rPr/>
      </w:r>
    </w:p>
    <w:p>
      <w:pPr>
        <w:pStyle w:val="Normal"/>
        <w:rPr/>
      </w:pPr>
      <w:r>
        <w:rPr/>
        <w:t>NETCO is the company that has been formed to re-build the North American gas and power business under a new ownership structure that:</w:t>
      </w:r>
    </w:p>
    <w:p>
      <w:pPr>
        <w:pStyle w:val="Normal"/>
        <w:numPr>
          <w:ilvl w:val="0"/>
          <w:numId w:val="3"/>
        </w:numPr>
        <w:rPr/>
      </w:pPr>
      <w:r>
        <w:rPr/>
        <w:t>Allows the Enron estate to satisfy obligations to creditors by realizing the value of the leading position it had built up in the North American power and gas markets.</w:t>
      </w:r>
    </w:p>
    <w:p>
      <w:pPr>
        <w:pStyle w:val="Normal"/>
        <w:numPr>
          <w:ilvl w:val="0"/>
          <w:numId w:val="3"/>
        </w:numPr>
        <w:rPr/>
      </w:pPr>
      <w:r>
        <w:rPr/>
        <w:t xml:space="preserve">Removes the impact of  Enron’s continuing credit concerns from the franchise by selling a controlling interest in the business to an A+ rated institution </w:t>
      </w:r>
    </w:p>
    <w:p>
      <w:pPr>
        <w:pStyle w:val="Normal"/>
        <w:numPr>
          <w:ilvl w:val="0"/>
          <w:numId w:val="3"/>
        </w:numPr>
        <w:rPr/>
      </w:pPr>
      <w:r>
        <w:rPr/>
        <w:t xml:space="preserve">Allows current employees associated with this franchise to transfer to a new world class employer – allowing them to continue the work that they have given so much to, in their time with Enron. </w:t>
      </w:r>
    </w:p>
    <w:p>
      <w:pPr>
        <w:pStyle w:val="Normal"/>
        <w:rPr/>
      </w:pPr>
      <w:r>
        <w:rPr/>
      </w:r>
    </w:p>
    <w:p>
      <w:pPr>
        <w:pStyle w:val="Heading1"/>
        <w:ind w:hanging="0" w:start="0"/>
        <w:rPr/>
      </w:pPr>
      <w:r>
        <w:rPr/>
        <w:t>The Outlook</w:t>
      </w:r>
    </w:p>
    <w:p>
      <w:pPr>
        <w:pStyle w:val="Normal"/>
        <w:rPr/>
      </w:pPr>
      <w:r>
        <w:rPr/>
      </w:r>
    </w:p>
    <w:p>
      <w:pPr>
        <w:pStyle w:val="Normal"/>
        <w:rPr/>
      </w:pPr>
      <w:r>
        <w:rPr/>
        <w:t>The outlook for Netco is excellent, within our core franchise of power and gas trading/originationa and risk management we will have:</w:t>
      </w:r>
    </w:p>
    <w:p>
      <w:pPr>
        <w:pStyle w:val="Normal"/>
        <w:numPr>
          <w:ilvl w:val="0"/>
          <w:numId w:val="4"/>
        </w:numPr>
        <w:rPr/>
      </w:pPr>
      <w:r>
        <w:rPr/>
        <w:t>The #1 power/gas franchise in North America</w:t>
      </w:r>
    </w:p>
    <w:p>
      <w:pPr>
        <w:pStyle w:val="Normal"/>
        <w:numPr>
          <w:ilvl w:val="0"/>
          <w:numId w:val="4"/>
        </w:numPr>
        <w:rPr/>
      </w:pPr>
      <w:r>
        <w:rPr/>
        <w:t>The best intellectual capital in the industry</w:t>
      </w:r>
    </w:p>
    <w:p>
      <w:pPr>
        <w:pStyle w:val="Normal"/>
        <w:numPr>
          <w:ilvl w:val="0"/>
          <w:numId w:val="4"/>
        </w:numPr>
        <w:rPr/>
      </w:pPr>
      <w:r>
        <w:rPr/>
        <w:t xml:space="preserve">The trading platform formerly known as Enron Online </w:t>
      </w:r>
    </w:p>
    <w:p>
      <w:pPr>
        <w:pStyle w:val="Normal"/>
        <w:numPr>
          <w:ilvl w:val="0"/>
          <w:numId w:val="4"/>
        </w:numPr>
        <w:rPr/>
      </w:pPr>
      <w:r>
        <w:rPr/>
        <w:t xml:space="preserve">A+ credit rating and associated balance sheet – the only merchant energy provider with this kind of rating </w:t>
      </w:r>
    </w:p>
    <w:p>
      <w:pPr>
        <w:pStyle w:val="Normal"/>
        <w:numPr>
          <w:ilvl w:val="0"/>
          <w:numId w:val="4"/>
        </w:numPr>
        <w:rPr/>
      </w:pPr>
      <w:r>
        <w:rPr/>
        <w:t>A new VAR strategy and attitude to risk</w:t>
      </w:r>
    </w:p>
    <w:p>
      <w:pPr>
        <w:pStyle w:val="Normal"/>
        <w:rPr/>
      </w:pPr>
      <w:r>
        <w:rPr/>
      </w:r>
    </w:p>
    <w:p>
      <w:pPr>
        <w:pStyle w:val="Normal"/>
        <w:rPr/>
      </w:pPr>
      <w:r>
        <w:rPr/>
        <w:t xml:space="preserve">We are extremely confident that with the right ownership structure and appropriate funding we can quickly rebuild this franchise to its position of market dominance. </w:t>
      </w:r>
    </w:p>
    <w:p>
      <w:pPr>
        <w:pStyle w:val="Normal"/>
        <w:rPr/>
      </w:pPr>
      <w:r>
        <w:rPr/>
      </w:r>
    </w:p>
    <w:p>
      <w:pPr>
        <w:pStyle w:val="Heading1"/>
        <w:ind w:hanging="0" w:start="0"/>
        <w:rPr/>
      </w:pPr>
      <w:r>
        <w:rPr/>
        <w:t>The Events of the next month</w:t>
      </w:r>
    </w:p>
    <w:p>
      <w:pPr>
        <w:pStyle w:val="Normal"/>
        <w:rPr/>
      </w:pPr>
      <w:r>
        <w:rPr/>
      </w:r>
    </w:p>
    <w:p>
      <w:pPr>
        <w:pStyle w:val="Normal"/>
        <w:rPr/>
      </w:pPr>
      <w:r>
        <w:rPr/>
        <w:t>Whilst it’s unclear exactly what will happen in the coming weeks and months the steps that have/will need to be taken are:</w:t>
      </w:r>
    </w:p>
    <w:p>
      <w:pPr>
        <w:pStyle w:val="Normal"/>
        <w:rPr/>
      </w:pPr>
      <w:r>
        <w:rPr/>
      </w:r>
    </w:p>
    <w:p>
      <w:pPr>
        <w:pStyle w:val="Normal"/>
        <w:numPr>
          <w:ilvl w:val="0"/>
          <w:numId w:val="2"/>
        </w:numPr>
        <w:rPr/>
      </w:pPr>
      <w:r>
        <w:rPr/>
        <w:t>Enron filed with the bankruptcy court on Wednesday 19</w:t>
      </w:r>
      <w:r>
        <w:rPr>
          <w:vertAlign w:val="superscript"/>
        </w:rPr>
        <w:t>th</w:t>
      </w:r>
      <w:r>
        <w:rPr/>
        <w:t xml:space="preserve"> December and agreed on auction procedures to allow bidders to bid for a share of NETCO.</w:t>
      </w:r>
    </w:p>
    <w:p>
      <w:pPr>
        <w:pStyle w:val="Normal"/>
        <w:numPr>
          <w:ilvl w:val="0"/>
          <w:numId w:val="2"/>
        </w:numPr>
        <w:rPr/>
      </w:pPr>
      <w:r>
        <w:rPr/>
        <w:t>The potential acquirers are now going through their due diligence processes and are identifying the steps that would need to be taken to get the franchise up, running and making money as soon as possible after deal closure.</w:t>
      </w:r>
    </w:p>
    <w:p>
      <w:pPr>
        <w:pStyle w:val="Normal"/>
        <w:numPr>
          <w:ilvl w:val="0"/>
          <w:numId w:val="2"/>
        </w:numPr>
        <w:rPr/>
      </w:pPr>
      <w:r>
        <w:rPr/>
        <w:t>It is anticipated that the due diligence will be completed by 7</w:t>
      </w:r>
      <w:r>
        <w:rPr>
          <w:vertAlign w:val="superscript"/>
        </w:rPr>
        <w:t>th</w:t>
      </w:r>
      <w:r>
        <w:rPr/>
        <w:t xml:space="preserve"> January 2002 and a decision will be made around 12</w:t>
      </w:r>
      <w:r>
        <w:rPr>
          <w:vertAlign w:val="superscript"/>
        </w:rPr>
        <w:t>th</w:t>
      </w:r>
      <w:r>
        <w:rPr/>
        <w:t xml:space="preserve"> January 2002. There will then follow a period of finalization with a view to the deal being executed on or before 15</w:t>
      </w:r>
      <w:r>
        <w:rPr>
          <w:vertAlign w:val="superscript"/>
        </w:rPr>
        <w:t>th</w:t>
      </w:r>
      <w:r>
        <w:rPr/>
        <w:t xml:space="preserve"> January 2002. </w:t>
      </w:r>
    </w:p>
    <w:p>
      <w:pPr>
        <w:pStyle w:val="Normal"/>
        <w:numPr>
          <w:ilvl w:val="0"/>
          <w:numId w:val="2"/>
        </w:numPr>
        <w:rPr/>
      </w:pPr>
      <w:r>
        <w:rPr/>
        <w:t>No-one can anticipate how our customers and counter-parties will react to this new business, however we believe that we can quickly refill our former role as market maker for gas and power. What this means is that we need to be ready to deal with whatever the market throws at us once the deal is finalized.</w:t>
      </w:r>
    </w:p>
    <w:p>
      <w:pPr>
        <w:pStyle w:val="Normal"/>
        <w:numPr>
          <w:ilvl w:val="0"/>
          <w:numId w:val="2"/>
        </w:numPr>
        <w:rPr/>
      </w:pPr>
      <w:r>
        <w:rPr/>
        <w:t>As soon as the purchaser is agreed we will work on finalizing the employment terms of the new company and we will generate offer letters for transferring employees that will confirm all new terms and conditions. We hope that we will be in a position to generate these letters on 13</w:t>
      </w:r>
      <w:r>
        <w:rPr>
          <w:vertAlign w:val="superscript"/>
        </w:rPr>
        <w:t>th</w:t>
      </w:r>
      <w:r>
        <w:rPr/>
        <w:t xml:space="preserve"> January 2002.</w:t>
      </w:r>
    </w:p>
    <w:p>
      <w:pPr>
        <w:pStyle w:val="Normal"/>
        <w:ind w:start="360" w:end="0"/>
        <w:rPr/>
      </w:pPr>
      <w:r>
        <w:rPr/>
      </w:r>
    </w:p>
    <w:p>
      <w:pPr>
        <w:pStyle w:val="Normal"/>
        <w:rPr/>
      </w:pPr>
      <w:r>
        <w:rPr/>
      </w:r>
    </w:p>
    <w:p>
      <w:pPr>
        <w:pStyle w:val="Heading1"/>
        <w:ind w:hanging="0" w:start="0"/>
        <w:rPr/>
      </w:pPr>
      <w:r>
        <w:rPr/>
        <w:t xml:space="preserve">What does Netco mean for you </w:t>
      </w:r>
    </w:p>
    <w:p>
      <w:pPr>
        <w:pStyle w:val="Normal"/>
        <w:rPr/>
      </w:pPr>
      <w:r>
        <w:rPr/>
      </w:r>
    </w:p>
    <w:p>
      <w:pPr>
        <w:pStyle w:val="Normal"/>
        <w:rPr/>
      </w:pPr>
      <w:r>
        <w:rPr/>
        <w:t>The terms and conditions of our transfer to Netco have yet to be finalized and cannot be confirmed until we have agreed who the purchaser will be – as it is likely that the terms and conditions of our employment will be based on their current employment practices and terms.</w:t>
      </w:r>
    </w:p>
    <w:p>
      <w:pPr>
        <w:pStyle w:val="Normal"/>
        <w:rPr/>
      </w:pPr>
      <w:r>
        <w:rPr/>
      </w:r>
    </w:p>
    <w:p>
      <w:pPr>
        <w:pStyle w:val="Normal"/>
        <w:rPr/>
      </w:pPr>
      <w:r>
        <w:rPr/>
        <w:t>All of the potential purchasers that we have been in negotiation with provide at least comparable terms to those offered by Enron – some terms marginally better &amp; some marginally worse. All purchasers understand that this is an intellectual capital business and they are all working with our HR department to retain our employees, who are fundamental to the deal.</w:t>
      </w:r>
    </w:p>
    <w:p>
      <w:pPr>
        <w:pStyle w:val="Normal"/>
        <w:rPr/>
      </w:pPr>
      <w:r>
        <w:rPr/>
      </w:r>
    </w:p>
    <w:p>
      <w:pPr>
        <w:pStyle w:val="Normal"/>
        <w:ind w:hanging="2160" w:start="2160" w:end="0"/>
        <w:rPr/>
      </w:pPr>
      <w:r>
        <w:rPr/>
        <w:t xml:space="preserve">Retention plans </w:t>
        <w:tab/>
        <w:t>given the importance of intellectual capital to this deal there will be a retention plan put in place once the deal is executed for those individuals who did not receive a retention bonus in November. It is likely to be a cash payment that would be repayable should someone leave the company in the early part of the Netco’s establishment. We hope to be able to confirm the details of the scheme and payment amounts to individuals by 13</w:t>
      </w:r>
      <w:r>
        <w:rPr>
          <w:vertAlign w:val="superscript"/>
        </w:rPr>
        <w:t>th</w:t>
      </w:r>
      <w:r>
        <w:rPr/>
        <w:t xml:space="preserve"> January 2002.</w:t>
      </w:r>
    </w:p>
    <w:p>
      <w:pPr>
        <w:pStyle w:val="Normal"/>
        <w:rPr/>
      </w:pPr>
      <w:r>
        <w:rPr/>
        <w:t xml:space="preserve"> </w:t>
      </w:r>
    </w:p>
    <w:p>
      <w:pPr>
        <w:pStyle w:val="Normal"/>
        <w:rPr/>
      </w:pPr>
      <w:r>
        <w:rPr/>
        <w:t>We anticipate the following:</w:t>
      </w:r>
    </w:p>
    <w:p>
      <w:pPr>
        <w:pStyle w:val="Normal"/>
        <w:rPr/>
      </w:pPr>
      <w:r>
        <w:rPr/>
      </w:r>
    </w:p>
    <w:p>
      <w:pPr>
        <w:pStyle w:val="Normal"/>
        <w:rPr/>
      </w:pPr>
      <w:r>
        <w:rPr/>
        <w:t xml:space="preserve">Salary  </w:t>
        <w:tab/>
        <w:tab/>
        <w:t>employees will transfer over on at least their current base salary.</w:t>
      </w:r>
    </w:p>
    <w:p>
      <w:pPr>
        <w:pStyle w:val="Normal"/>
        <w:rPr/>
      </w:pPr>
      <w:r>
        <w:rPr/>
      </w:r>
    </w:p>
    <w:p>
      <w:pPr>
        <w:pStyle w:val="Normal"/>
        <w:ind w:hanging="2160" w:start="2160" w:end="0"/>
        <w:rPr/>
      </w:pPr>
      <w:r>
        <w:rPr/>
        <w:t xml:space="preserve">Salary reviews </w:t>
        <w:tab/>
        <w:t>each company has different methodologies for both the frequency and method of reviewing salaries but all are based on performance and are typically bi-annual</w:t>
      </w:r>
    </w:p>
    <w:p>
      <w:pPr>
        <w:pStyle w:val="Normal"/>
        <w:ind w:hanging="2160" w:start="2160" w:end="0"/>
        <w:rPr/>
      </w:pPr>
      <w:r>
        <w:rPr/>
      </w:r>
    </w:p>
    <w:p>
      <w:pPr>
        <w:pStyle w:val="Normal"/>
        <w:ind w:hanging="2160" w:start="2160" w:end="0"/>
        <w:rPr/>
      </w:pPr>
      <w:r>
        <w:rPr/>
        <w:t>Bonus</w:t>
        <w:tab/>
        <w:t xml:space="preserve">based on us developing a successful business we expect bonuses will be at least at the levels that Enron has paid in the past. </w:t>
      </w:r>
    </w:p>
    <w:p>
      <w:pPr>
        <w:pStyle w:val="Normal"/>
        <w:ind w:hanging="2160" w:start="2160" w:end="0"/>
        <w:rPr/>
      </w:pPr>
      <w:r>
        <w:rPr/>
      </w:r>
    </w:p>
    <w:p>
      <w:pPr>
        <w:pStyle w:val="Normal"/>
        <w:ind w:hanging="2160" w:start="2160" w:end="0"/>
        <w:rPr/>
      </w:pPr>
      <w:r>
        <w:rPr/>
        <w:t xml:space="preserve">Service </w:t>
        <w:tab/>
        <w:t xml:space="preserve">we have requested the acquirer to honor our previous service with Enron </w:t>
      </w:r>
    </w:p>
    <w:p>
      <w:pPr>
        <w:pStyle w:val="Normal"/>
        <w:ind w:hanging="2160" w:start="2160" w:end="0"/>
        <w:rPr/>
      </w:pPr>
      <w:r>
        <w:rPr/>
      </w:r>
    </w:p>
    <w:p>
      <w:pPr>
        <w:pStyle w:val="Normal"/>
        <w:ind w:hanging="2160" w:start="2160" w:end="0"/>
        <w:rPr/>
      </w:pPr>
      <w:r>
        <w:rPr/>
        <w:t>Benefits</w:t>
        <w:tab/>
        <w:t>this is probably the area that differs the greatest but all parties have comparable benefits plans to Enron.</w:t>
      </w:r>
    </w:p>
    <w:p>
      <w:pPr>
        <w:pStyle w:val="Normal"/>
        <w:ind w:hanging="2160" w:start="2160" w:end="0"/>
        <w:rPr/>
      </w:pPr>
      <w:r>
        <w:rPr/>
      </w:r>
    </w:p>
    <w:p>
      <w:pPr>
        <w:pStyle w:val="BodyTextIndent"/>
        <w:ind w:hanging="0" w:start="0" w:end="0"/>
        <w:rPr/>
      </w:pPr>
      <w:r>
        <w:rPr/>
        <w:t>Employment</w:t>
        <w:tab/>
        <w:tab/>
        <w:t xml:space="preserve">Employment agreements are currently under review, we agreements </w:t>
        <w:tab/>
        <w:tab/>
        <w:t xml:space="preserve">believe that they are still effective as they have not been breached.    </w:t>
      </w:r>
    </w:p>
    <w:p>
      <w:pPr>
        <w:pStyle w:val="Normal"/>
        <w:ind w:hanging="2160" w:start="2160" w:end="0"/>
        <w:rPr/>
      </w:pPr>
      <w:r>
        <w:rPr/>
      </w:r>
    </w:p>
    <w:p>
      <w:pPr>
        <w:pStyle w:val="Normal"/>
        <w:ind w:hanging="2160" w:start="2160" w:end="0"/>
        <w:rPr/>
      </w:pPr>
      <w:r>
        <w:rPr/>
      </w:r>
    </w:p>
    <w:p>
      <w:pPr>
        <w:pStyle w:val="Normal"/>
        <w:ind w:hanging="2160" w:start="2160" w:end="0"/>
        <w:rPr/>
      </w:pPr>
      <w:r>
        <w:rPr/>
        <w:t>Visa’s</w:t>
        <w:tab/>
        <w:t xml:space="preserve">there are plans in place that will allow us to switch H1 visas within 24 hours and L1 visa’s within around 3 weeks. Those individuals on L1 visas should contact your HR representative before making travel arrangements.   </w:t>
      </w:r>
    </w:p>
    <w:p>
      <w:pPr>
        <w:pStyle w:val="Normal"/>
        <w:ind w:hanging="2160" w:start="2160" w:end="0"/>
        <w:rPr/>
      </w:pPr>
      <w:r>
        <w:rPr/>
      </w:r>
    </w:p>
    <w:p>
      <w:pPr>
        <w:pStyle w:val="Normal"/>
        <w:ind w:hanging="2160" w:start="2160" w:end="0"/>
        <w:rPr/>
      </w:pPr>
      <w:r>
        <w:rPr/>
        <w:t>Savings plan</w:t>
        <w:tab/>
        <w:t xml:space="preserve">Because purchasers are being asked to honor prior service with the Enron as part of the deal, prior Enron service will count towards eligibility to benefits plans such as savings plans, vacation entitlement and other benefits that are service related. However whilst prior Enron service will count towards vesting schedules there will be no contribution credit for this service. </w:t>
      </w:r>
    </w:p>
    <w:p>
      <w:pPr>
        <w:pStyle w:val="Normal"/>
        <w:ind w:hanging="2160" w:start="2160" w:end="0"/>
        <w:rPr/>
      </w:pPr>
      <w:r>
        <w:rPr/>
      </w:r>
    </w:p>
    <w:p>
      <w:pPr>
        <w:pStyle w:val="Normal"/>
        <w:ind w:hanging="2160" w:start="2160" w:end="0"/>
        <w:rPr/>
      </w:pPr>
      <w:r>
        <w:rPr/>
        <w:t>Enron stock</w:t>
        <w:tab/>
        <w:t xml:space="preserve">On transfer to Netco any unvested Enron stock will not vest or supervest. Stock that has already vested will be exercisable based on the plan details. </w:t>
      </w:r>
    </w:p>
    <w:p>
      <w:pPr>
        <w:pStyle w:val="Normal"/>
        <w:ind w:hanging="2160" w:start="2160" w:end="0"/>
        <w:rPr/>
      </w:pPr>
      <w:r>
        <w:rPr/>
      </w:r>
    </w:p>
    <w:p>
      <w:pPr>
        <w:pStyle w:val="Normal"/>
        <w:ind w:hanging="2160" w:start="2160" w:end="0"/>
        <w:rPr/>
      </w:pPr>
      <w:r>
        <w:rPr/>
        <w:t>Promotions</w:t>
        <w:tab/>
        <w:t xml:space="preserve">We anticipate that once we have been through an appropriate recovery and reinstatement period we will once again review compensation and promotions based on performance and responsibility levels. </w:t>
      </w:r>
    </w:p>
    <w:p>
      <w:pPr>
        <w:pStyle w:val="Normal"/>
        <w:ind w:hanging="2160" w:start="2160" w:end="0"/>
        <w:rPr/>
      </w:pPr>
      <w:r>
        <w:rPr/>
      </w:r>
    </w:p>
    <w:p>
      <w:pPr>
        <w:pStyle w:val="Normal"/>
        <w:ind w:hanging="2160" w:start="2160" w:end="0"/>
        <w:rPr/>
      </w:pPr>
      <w:r>
        <w:rPr/>
        <w:t>Fringe benefits</w:t>
        <w:tab/>
        <w:t xml:space="preserve">We have requested that benefits such as car parking subsidy, bus passes, subsidized gym member ship etc, will continue for at least a year after the transaction is executed. </w:t>
      </w:r>
    </w:p>
    <w:p>
      <w:pPr>
        <w:pStyle w:val="Normal"/>
        <w:ind w:hanging="2160" w:start="2160" w:end="0"/>
        <w:rPr/>
      </w:pPr>
      <w:r>
        <w:rPr/>
      </w:r>
    </w:p>
    <w:p>
      <w:pPr>
        <w:pStyle w:val="Normal"/>
        <w:ind w:hanging="2160" w:start="2160" w:end="0"/>
        <w:rPr/>
      </w:pPr>
      <w:r>
        <w:rPr/>
        <w:t>Greencards</w:t>
        <w:tab/>
        <w:t>there are a small number of employees who are in the process of applying for a company sponsored green card. Unfortunately transferring to Netco in the same way as leaving Enron for any other reason means that this application is terminated. Individuals who are in this situation should contact their HR representative as soon as possible.</w:t>
        <w:tab/>
      </w:r>
    </w:p>
    <w:p>
      <w:pPr>
        <w:pStyle w:val="Normal"/>
        <w:ind w:hanging="2160" w:start="2160" w:end="0"/>
        <w:rPr/>
      </w:pPr>
      <w:r>
        <w:rPr/>
      </w:r>
    </w:p>
    <w:p>
      <w:pPr>
        <w:pStyle w:val="Normal"/>
        <w:ind w:hanging="2160" w:start="2160" w:end="0"/>
        <w:rPr/>
      </w:pPr>
      <w:r>
        <w:rPr/>
        <w:t>Job responsibilities</w:t>
        <w:tab/>
        <w:t>most employees will transfer over to Netco and carry out a largely similar role to that carried out whilst at Enron, but as before roles and responsibilities will change.</w:t>
      </w:r>
    </w:p>
    <w:p>
      <w:pPr>
        <w:pStyle w:val="Normal"/>
        <w:ind w:hanging="2160" w:start="2160" w:end="0"/>
        <w:rPr/>
      </w:pPr>
      <w:r>
        <w:rPr/>
      </w:r>
    </w:p>
    <w:p>
      <w:pPr>
        <w:pStyle w:val="Normal"/>
        <w:ind w:hanging="2160" w:start="2160" w:end="0"/>
        <w:rPr/>
      </w:pPr>
      <w:r>
        <w:rPr/>
        <w:t>Career prospects</w:t>
        <w:tab/>
        <w:t xml:space="preserve">we envisage after a suitable re-establishment process that individuals will be considered for opportunities in the acquiring company.  </w:t>
      </w:r>
    </w:p>
    <w:p>
      <w:pPr>
        <w:pStyle w:val="Heading2"/>
        <w:rPr/>
      </w:pPr>
      <w:r>
        <w:rPr/>
      </w:r>
    </w:p>
    <w:p>
      <w:pPr>
        <w:pStyle w:val="Heading2"/>
        <w:rPr/>
      </w:pPr>
      <w:r>
        <w:rPr/>
        <w:t>The Netco offer</w:t>
      </w:r>
    </w:p>
    <w:p>
      <w:pPr>
        <w:pStyle w:val="Normal"/>
        <w:rPr/>
      </w:pPr>
      <w:r>
        <w:rPr/>
      </w:r>
    </w:p>
    <w:p>
      <w:pPr>
        <w:pStyle w:val="Normal"/>
        <w:rPr/>
      </w:pPr>
      <w:r>
        <w:rPr/>
        <w:t>What happens if you accept the Netco offer ?</w:t>
      </w:r>
    </w:p>
    <w:p>
      <w:pPr>
        <w:pStyle w:val="Normal"/>
        <w:rPr/>
      </w:pPr>
      <w:r>
        <w:rPr/>
      </w:r>
    </w:p>
    <w:p>
      <w:pPr>
        <w:pStyle w:val="Normal"/>
        <w:rPr/>
      </w:pPr>
      <w:r>
        <w:rPr/>
        <w:t>If you accept the Netco offer you will become an employee of Netco and will be eligible to participate in the Retention plan mentioned above, and transfer on to the terms of the Netco offer.</w:t>
      </w:r>
    </w:p>
    <w:p>
      <w:pPr>
        <w:pStyle w:val="Normal"/>
        <w:rPr/>
      </w:pPr>
      <w:r>
        <w:rPr/>
      </w:r>
    </w:p>
    <w:p>
      <w:pPr>
        <w:pStyle w:val="Normal"/>
        <w:rPr/>
      </w:pPr>
      <w:r>
        <w:rPr/>
        <w:t>What happens if you don’t accept the Netco offer ?</w:t>
      </w:r>
    </w:p>
    <w:p>
      <w:pPr>
        <w:pStyle w:val="Normal"/>
        <w:rPr/>
      </w:pPr>
      <w:r>
        <w:rPr/>
      </w:r>
    </w:p>
    <w:p>
      <w:pPr>
        <w:pStyle w:val="Normal"/>
        <w:rPr/>
      </w:pPr>
      <w:r>
        <w:rPr/>
        <w:t xml:space="preserve">If you decline the offer made by Netco, then you have the opportunity to stay with the Enron estate, should there be a suitable opportunity for you. </w:t>
      </w:r>
    </w:p>
    <w:p>
      <w:pPr>
        <w:pStyle w:val="Heading2"/>
        <w:rPr/>
      </w:pPr>
      <w:r>
        <w:rPr/>
      </w:r>
    </w:p>
    <w:p>
      <w:pPr>
        <w:pStyle w:val="Normal"/>
        <w:rPr/>
      </w:pPr>
      <w:r>
        <w:rPr/>
        <w:t>How long will I have to decide whether to accept the Enron offer ?</w:t>
      </w:r>
    </w:p>
    <w:p>
      <w:pPr>
        <w:pStyle w:val="Normal"/>
        <w:rPr/>
      </w:pPr>
      <w:r>
        <w:rPr/>
      </w:r>
    </w:p>
    <w:p>
      <w:pPr>
        <w:pStyle w:val="Normal"/>
        <w:rPr/>
      </w:pPr>
      <w:r>
        <w:rPr/>
        <w:t xml:space="preserve">It is probable that you will have about 2 to 3 days to decide to accept the Netco offer and return the signed offer letter. </w:t>
      </w:r>
    </w:p>
    <w:p>
      <w:pPr>
        <w:pStyle w:val="Heading2"/>
        <w:rPr/>
      </w:pPr>
      <w:r>
        <w:rPr/>
      </w:r>
    </w:p>
    <w:p>
      <w:pPr>
        <w:pStyle w:val="Heading2"/>
        <w:rPr/>
      </w:pPr>
      <w:r>
        <w:rPr/>
        <w:t>Our Relationship with the Enron Estate</w:t>
      </w:r>
    </w:p>
    <w:p>
      <w:pPr>
        <w:pStyle w:val="Normal"/>
        <w:ind w:hanging="2160" w:start="2160" w:end="0"/>
        <w:rPr/>
      </w:pPr>
      <w:r>
        <w:rPr/>
      </w:r>
    </w:p>
    <w:p>
      <w:pPr>
        <w:pStyle w:val="Normal"/>
        <w:rPr/>
      </w:pPr>
      <w:r>
        <w:rPr/>
        <w:t>Until the deal closes we remain Enron employees.  During this transition, some of you may be asked to work on estate matters and we need to ensure that that we give the estate every support.</w:t>
      </w:r>
    </w:p>
    <w:p>
      <w:pPr>
        <w:pStyle w:val="Normal"/>
        <w:ind w:hanging="2160" w:start="2160" w:end="0"/>
        <w:rPr/>
      </w:pPr>
      <w:r>
        <w:rPr/>
      </w:r>
    </w:p>
    <w:p>
      <w:pPr>
        <w:pStyle w:val="Normal"/>
        <w:rPr>
          <w:b/>
          <w:bCs/>
        </w:rPr>
      </w:pPr>
      <w:r>
        <w:rPr>
          <w:b/>
          <w:bCs/>
        </w:rPr>
        <w:t>Who do I talk to if I have further questions?</w:t>
      </w:r>
    </w:p>
    <w:p>
      <w:pPr>
        <w:pStyle w:val="Normal"/>
        <w:rPr>
          <w:b/>
          <w:bCs/>
        </w:rPr>
      </w:pPr>
      <w:r>
        <w:rPr>
          <w:b/>
          <w:bCs/>
        </w:rPr>
      </w:r>
    </w:p>
    <w:p>
      <w:pPr>
        <w:pStyle w:val="Normal"/>
        <w:rPr/>
      </w:pPr>
      <w:r>
        <w:rPr/>
        <w:t xml:space="preserve">If you have questions around your new role in Netco then you should speak to your supervisor </w:t>
      </w:r>
    </w:p>
    <w:p>
      <w:pPr>
        <w:pStyle w:val="Normal"/>
        <w:rPr/>
      </w:pPr>
      <w:r>
        <w:rPr/>
      </w:r>
    </w:p>
    <w:p>
      <w:pPr>
        <w:pStyle w:val="Normal"/>
        <w:rPr/>
      </w:pPr>
      <w:r>
        <w:rPr/>
        <w:t>If you have concerns about HR issues then speak to your HR representative :</w:t>
      </w:r>
    </w:p>
    <w:p>
      <w:pPr>
        <w:pStyle w:val="Normal"/>
        <w:rPr/>
      </w:pPr>
      <w:r>
        <w:rPr/>
      </w:r>
    </w:p>
    <w:p>
      <w:pPr>
        <w:pStyle w:val="Normal"/>
        <w:rPr/>
      </w:pPr>
      <w:r>
        <w:rPr/>
        <w:t xml:space="preserve">IT </w:t>
        <w:tab/>
        <w:tab/>
        <w:tab/>
        <w:tab/>
        <w:t>Mandy Curless</w:t>
      </w:r>
    </w:p>
    <w:p>
      <w:pPr>
        <w:pStyle w:val="Normal"/>
        <w:rPr/>
      </w:pPr>
      <w:r>
        <w:rPr/>
        <w:t>Weather/GRA</w:t>
        <w:tab/>
        <w:tab/>
        <w:tab/>
        <w:t>Ann Labbe</w:t>
        <w:tab/>
      </w:r>
    </w:p>
    <w:p>
      <w:pPr>
        <w:pStyle w:val="Normal"/>
        <w:rPr/>
      </w:pPr>
      <w:r>
        <w:rPr/>
        <w:t xml:space="preserve">Gas </w:t>
        <w:tab/>
        <w:tab/>
        <w:tab/>
        <w:tab/>
        <w:t>Jeanie Slone</w:t>
        <w:tab/>
        <w:tab/>
        <w:tab/>
        <w:tab/>
        <w:tab/>
        <w:t xml:space="preserve"> </w:t>
      </w:r>
    </w:p>
    <w:p>
      <w:pPr>
        <w:pStyle w:val="Normal"/>
        <w:rPr/>
      </w:pPr>
      <w:r>
        <w:rPr/>
        <w:t xml:space="preserve">Power </w:t>
        <w:tab/>
        <w:tab/>
        <w:tab/>
        <w:tab/>
        <w:t>Amy Fitzpatrick</w:t>
      </w:r>
    </w:p>
    <w:p>
      <w:pPr>
        <w:pStyle w:val="Normal"/>
        <w:rPr/>
      </w:pPr>
      <w:r>
        <w:rPr/>
        <w:t>IT infrastructure/legal/</w:t>
        <w:tab/>
        <w:t>Sarah Austin</w:t>
      </w:r>
    </w:p>
    <w:p>
      <w:pPr>
        <w:pStyle w:val="Normal"/>
        <w:rPr/>
      </w:pPr>
      <w:r>
        <w:rPr/>
        <w:t>Accounting/credit</w:t>
      </w:r>
    </w:p>
    <w:p>
      <w:pPr>
        <w:pStyle w:val="Normal"/>
        <w:rPr/>
      </w:pPr>
      <w:r>
        <w:rPr/>
        <w:t>Documentation/Settlements/</w:t>
        <w:tab/>
        <w:t>Tana Cashion</w:t>
      </w:r>
    </w:p>
    <w:p>
      <w:pPr>
        <w:pStyle w:val="Normal"/>
        <w:rPr/>
      </w:pPr>
      <w:r>
        <w:rPr/>
        <w:t xml:space="preserve">Volume management/risk </w:t>
      </w:r>
    </w:p>
    <w:p>
      <w:pPr>
        <w:pStyle w:val="Normal"/>
        <w:rPr/>
      </w:pPr>
      <w:r>
        <w:rPr/>
        <w:t>Analysts and associates</w:t>
        <w:tab/>
        <w:t>Karen Buckley</w:t>
      </w:r>
    </w:p>
    <w:p>
      <w:pPr>
        <w:pStyle w:val="Normal"/>
        <w:rPr/>
      </w:pPr>
      <w:r>
        <w:rPr/>
      </w:r>
    </w:p>
    <w:p>
      <w:pPr>
        <w:pStyle w:val="Normal"/>
        <w:rPr/>
      </w:pPr>
      <w:r>
        <w:rPr/>
        <w:t xml:space="preserve">Or call Neil Davies, or David Oxley. </w:t>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abstractNum w:abstractNumId="4">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paragraph" w:styleId="Heading2">
    <w:name w:val="heading 2"/>
    <w:basedOn w:val="Normal"/>
    <w:next w:val="Normal"/>
    <w:qFormat/>
    <w:pPr>
      <w:keepNext w:val="true"/>
      <w:numPr>
        <w:ilvl w:val="1"/>
        <w:numId w:val="1"/>
      </w:numPr>
      <w:ind w:hanging="2160" w:start="2160" w:end="0"/>
      <w:outlineLvl w:val="1"/>
    </w:pPr>
    <w:rPr>
      <w:b/>
      <w:bCs/>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2160" w:start="2160" w:end="0"/>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1515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2002-01-03T20:28:00Z</dcterms:created>
  <dc:creator>Neil Davies</dc:creator>
  <dc:description/>
  <dc:language>en-CA</dc:language>
  <cp:lastModifiedBy>ndavies</cp:lastModifiedBy>
  <cp:lastPrinted>2002-01-04T14:18:00Z</cp:lastPrinted>
  <dcterms:modified xsi:type="dcterms:W3CDTF">2002-01-07T13:55:00Z</dcterms:modified>
  <cp:revision>6</cp:revision>
  <dc:subject/>
  <dc:title>NETCO – Employee briefing</dc:title>
</cp:coreProperties>
</file>