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rFonts w:cs="Arial" w:ascii="Arial" w:hAnsi="Arial"/>
          <w:b/>
          <w:bCs/>
          <w:sz w:val="24"/>
          <w:szCs w:val="22"/>
        </w:rPr>
        <w:t>Attendance</w:t>
      </w:r>
      <w:r>
        <w:rPr>
          <w:rFonts w:cs="Arial" w:ascii="Arial" w:hAnsi="Arial"/>
          <w:sz w:val="24"/>
          <w:szCs w:val="22"/>
        </w:rPr>
        <w:t xml:space="preserve">: </w:t>
      </w:r>
      <w:r>
        <w:rPr>
          <w:rFonts w:cs="Arial" w:ascii="Arial" w:hAnsi="Arial"/>
          <w:szCs w:val="22"/>
        </w:rPr>
        <w:t>Charles Yeung-</w:t>
      </w:r>
      <w:r>
        <w:rPr>
          <w:rFonts w:cs="Arial" w:ascii="Arial" w:hAnsi="Arial"/>
        </w:rPr>
        <w:t>Chairman-Enron, Doug Hils-Vice Chairman-Cinergy, Gordon Scott- NERC</w:t>
      </w:r>
      <w:r>
        <w:rPr>
          <w:rFonts w:cs="Arial" w:ascii="Arial" w:hAnsi="Arial"/>
          <w:b/>
          <w:bCs/>
        </w:rPr>
        <w:t xml:space="preserve">, </w:t>
      </w:r>
      <w:r>
        <w:rPr>
          <w:rFonts w:cs="Arial" w:ascii="Arial" w:hAnsi="Arial"/>
        </w:rPr>
        <w:t>Jim McIntosh-WSCC–CAISO, Don Lacen-WSCC ISAS-PNM, Mirek Horenovsky- Colorado Springs Utilities</w:t>
      </w:r>
      <w:r>
        <w:rPr>
          <w:rFonts w:cs="Arial" w:ascii="Arial" w:hAnsi="Arial"/>
          <w:b/>
          <w:bCs/>
        </w:rPr>
        <w:t xml:space="preserve">, </w:t>
      </w:r>
      <w:r>
        <w:rPr>
          <w:rFonts w:cs="Arial" w:ascii="Arial" w:hAnsi="Arial"/>
        </w:rPr>
        <w:t>Ron Donahey-Tampa Electric Company, Michael Bryson-PJM, Jerry Hagge-Nebraska Public Power District, Richard Knight-Duke Power, Fred Kunkel-Wabash Valley Power Association, Julie Palin-Exelon, Rick Rucker-Coral Power LLC, Bob Stegmeier-Aquila Energy, Kalim Tippitt-Reliant Energy, Michel Armstrong-TransEnergie, Stephen Whitley-ISO New England, Andy Rodriquez-TISWG Chair- Enron, Jason Cox- Dynergy, Eugene Byars-Southern, Jerry Dempsey-WAPA(8/22).</w:t>
      </w:r>
    </w:p>
    <w:p>
      <w:pPr>
        <w:pStyle w:val="Normal"/>
        <w:autoSpaceDE w:val="false"/>
        <w:rPr>
          <w:rFonts w:ascii="Arial" w:hAnsi="Arial" w:cs="Arial"/>
          <w:sz w:val="24"/>
          <w:szCs w:val="22"/>
        </w:rPr>
      </w:pPr>
      <w:r>
        <w:rPr>
          <w:rFonts w:cs="Arial" w:ascii="Arial" w:hAnsi="Arial"/>
          <w:sz w:val="24"/>
          <w:szCs w:val="22"/>
        </w:rPr>
      </w:r>
    </w:p>
    <w:p>
      <w:pPr>
        <w:pStyle w:val="BodyText"/>
        <w:rPr>
          <w:rFonts w:ascii="Arial" w:hAnsi="Arial" w:cs="Arial"/>
        </w:rPr>
      </w:pPr>
      <w:r>
        <w:rPr>
          <w:rFonts w:cs="Arial" w:ascii="Arial" w:hAnsi="Arial"/>
        </w:rPr>
        <w:t>The June 27–29, 2001 Interchange Subcommittee Meeting Minutes were approved.</w:t>
      </w:r>
    </w:p>
    <w:p>
      <w:pPr>
        <w:pStyle w:val="Normal"/>
        <w:autoSpaceDE w:val="false"/>
        <w:rPr>
          <w:rFonts w:ascii="Arial" w:hAnsi="Arial" w:cs="Arial"/>
          <w:b/>
          <w:bCs/>
          <w:sz w:val="24"/>
          <w:szCs w:val="28"/>
        </w:rPr>
      </w:pPr>
      <w:r>
        <w:rPr>
          <w:rFonts w:cs="Arial" w:ascii="Arial" w:hAnsi="Arial"/>
          <w:b/>
          <w:bCs/>
          <w:sz w:val="24"/>
          <w:szCs w:val="28"/>
        </w:rPr>
      </w:r>
    </w:p>
    <w:p>
      <w:pPr>
        <w:pStyle w:val="Heading1"/>
        <w:ind w:hanging="0" w:start="0"/>
        <w:rPr>
          <w:rFonts w:ascii="Arial" w:hAnsi="Arial" w:cs="Arial"/>
          <w:szCs w:val="22"/>
        </w:rPr>
      </w:pPr>
      <w:r>
        <w:rPr>
          <w:rFonts w:cs="Arial" w:ascii="Arial" w:hAnsi="Arial"/>
        </w:rPr>
        <w:t>NERC Operating Committee Meeting Highlights:</w:t>
      </w:r>
    </w:p>
    <w:p>
      <w:pPr>
        <w:pStyle w:val="Normal"/>
        <w:autoSpaceDE w:val="false"/>
        <w:rPr/>
      </w:pPr>
      <w:r>
        <w:rPr>
          <w:rFonts w:cs="Arial" w:ascii="Arial" w:hAnsi="Arial"/>
          <w:color w:val="000000"/>
          <w:sz w:val="24"/>
          <w:szCs w:val="22"/>
        </w:rPr>
        <w:t>The NERC OC Approved the E-Tag v. 1.7 Functional Specification and its IDC related changes.  They also agreed on the following</w:t>
      </w:r>
      <w:r>
        <w:rPr>
          <w:rFonts w:cs="Arial" w:ascii="Arial" w:hAnsi="Arial"/>
          <w:sz w:val="24"/>
          <w:szCs w:val="22"/>
        </w:rPr>
        <w:t>:</w:t>
      </w:r>
    </w:p>
    <w:p>
      <w:pPr>
        <w:pStyle w:val="Normal"/>
        <w:autoSpaceDE w:val="false"/>
        <w:rPr>
          <w:rFonts w:ascii="Arial" w:hAnsi="Arial" w:cs="Arial"/>
          <w:sz w:val="24"/>
          <w:szCs w:val="22"/>
        </w:rPr>
      </w:pPr>
      <w:r>
        <w:rPr>
          <w:rFonts w:cs="Arial" w:ascii="Arial" w:hAnsi="Arial"/>
          <w:sz w:val="24"/>
          <w:szCs w:val="22"/>
        </w:rPr>
        <w:t>•“</w:t>
      </w:r>
      <w:r>
        <w:rPr>
          <w:rFonts w:cs="Arial" w:ascii="Arial" w:hAnsi="Arial"/>
          <w:sz w:val="24"/>
          <w:szCs w:val="22"/>
        </w:rPr>
        <w:t xml:space="preserve">The technical details may need to be modified to address errors and ambiguities as the specification continues to be refined during programming, testing, and training,” and </w:t>
      </w:r>
    </w:p>
    <w:p>
      <w:pPr>
        <w:pStyle w:val="Normal"/>
        <w:autoSpaceDE w:val="false"/>
        <w:rPr/>
      </w:pPr>
      <w:r>
        <w:rPr>
          <w:rFonts w:cs="Arial" w:ascii="Arial" w:hAnsi="Arial"/>
          <w:sz w:val="24"/>
          <w:szCs w:val="22"/>
        </w:rPr>
        <w:t>•</w:t>
      </w:r>
      <w:r>
        <w:rPr>
          <w:rFonts w:cs="Arial" w:ascii="Arial" w:hAnsi="Arial"/>
          <w:sz w:val="24"/>
          <w:szCs w:val="22"/>
        </w:rPr>
        <w:t xml:space="preserve">The E-Tag Specification include “…granting the Generation-Providing Entity and Load-Serving </w:t>
      </w:r>
      <w:r>
        <w:rPr>
          <w:rFonts w:cs="Arial" w:ascii="Arial" w:hAnsi="Arial"/>
          <w:sz w:val="24"/>
        </w:rPr>
        <w:t>Entity the right, but not the obligation, to approve tag requests to use their generation or load. If a GPE and LSE do not specify (register) an approval service, then approval on behalf of a GPE and LSE is performed by the Host Control Area,” and</w:t>
      </w:r>
    </w:p>
    <w:p>
      <w:pPr>
        <w:pStyle w:val="Normal"/>
        <w:autoSpaceDE w:val="false"/>
        <w:rPr/>
      </w:pPr>
      <w:r>
        <w:rPr>
          <w:rFonts w:cs="Arial" w:ascii="Arial" w:hAnsi="Arial"/>
          <w:sz w:val="24"/>
          <w:szCs w:val="22"/>
        </w:rPr>
        <w:t>•</w:t>
      </w:r>
      <w:r>
        <w:rPr>
          <w:rFonts w:cs="Arial" w:ascii="Arial" w:hAnsi="Arial"/>
          <w:sz w:val="24"/>
          <w:szCs w:val="22"/>
        </w:rPr>
        <w:t xml:space="preserve">The NERC staff is to work with the OASIS Standards Collaborative (OSC), Transaction Information </w:t>
      </w:r>
      <w:r>
        <w:rPr>
          <w:rFonts w:cs="Arial" w:ascii="Arial" w:hAnsi="Arial"/>
          <w:sz w:val="24"/>
        </w:rPr>
        <w:t>System Working Group (TISWG), Interchange Distribution Calculator Working Group, Market Interface Committee, Control Areas, Transmission Providers, and RTOs to develop a plan to transition from the current E-Tag V1.67 to V1.7.</w:t>
      </w:r>
    </w:p>
    <w:p>
      <w:pPr>
        <w:pStyle w:val="Normal"/>
        <w:autoSpaceDE w:val="false"/>
        <w:rPr/>
      </w:pPr>
      <w:r>
        <w:rPr>
          <w:rFonts w:cs="Arial" w:ascii="Arial" w:hAnsi="Arial"/>
          <w:b/>
          <w:bCs/>
          <w:sz w:val="24"/>
          <w:szCs w:val="22"/>
        </w:rPr>
        <w:t xml:space="preserve">Concerns on the V1.7 implementation date of October 25, 2001 can be meet.  </w:t>
      </w:r>
      <w:r>
        <w:rPr>
          <w:rFonts w:cs="Arial" w:ascii="Arial" w:hAnsi="Arial"/>
          <w:sz w:val="24"/>
          <w:szCs w:val="22"/>
        </w:rPr>
        <w:t xml:space="preserve">(The OSC’s concerns are the </w:t>
      </w:r>
      <w:r>
        <w:rPr>
          <w:rFonts w:cs="Arial" w:ascii="Arial" w:hAnsi="Arial"/>
          <w:b/>
          <w:bCs/>
          <w:sz w:val="24"/>
          <w:szCs w:val="22"/>
          <w:u w:val="single"/>
        </w:rPr>
        <w:t>registry is still not complete</w:t>
      </w:r>
      <w:r>
        <w:rPr>
          <w:rFonts w:cs="Arial" w:ascii="Arial" w:hAnsi="Arial"/>
          <w:sz w:val="24"/>
          <w:szCs w:val="22"/>
        </w:rPr>
        <w:t xml:space="preserve"> and they feel </w:t>
      </w:r>
      <w:r>
        <w:rPr>
          <w:rFonts w:cs="Arial" w:ascii="Arial" w:hAnsi="Arial"/>
          <w:b/>
          <w:bCs/>
          <w:color w:val="FF0000"/>
          <w:sz w:val="24"/>
          <w:szCs w:val="22"/>
        </w:rPr>
        <w:t>November 13, 2001</w:t>
      </w:r>
      <w:r>
        <w:rPr>
          <w:rFonts w:cs="Arial" w:ascii="Arial" w:hAnsi="Arial"/>
          <w:sz w:val="24"/>
          <w:szCs w:val="22"/>
        </w:rPr>
        <w:t xml:space="preserve"> is a more realistic date that can be.)</w:t>
      </w:r>
    </w:p>
    <w:p>
      <w:pPr>
        <w:pStyle w:val="Normal"/>
        <w:rPr>
          <w:rFonts w:ascii="Arial" w:hAnsi="Arial" w:cs="Arial"/>
          <w:sz w:val="24"/>
          <w:szCs w:val="22"/>
        </w:rPr>
      </w:pPr>
      <w:r>
        <w:rPr>
          <w:rFonts w:cs="Arial" w:ascii="Arial" w:hAnsi="Arial"/>
          <w:sz w:val="24"/>
          <w:szCs w:val="22"/>
        </w:rPr>
      </w:r>
    </w:p>
    <w:p>
      <w:pPr>
        <w:pStyle w:val="Heading1"/>
        <w:ind w:hanging="0" w:start="0"/>
        <w:rPr>
          <w:rFonts w:ascii="Arial" w:hAnsi="Arial" w:cs="Arial"/>
          <w:szCs w:val="20"/>
        </w:rPr>
      </w:pPr>
      <w:r>
        <w:rPr>
          <w:rFonts w:cs="Arial" w:ascii="Arial" w:hAnsi="Arial"/>
          <w:szCs w:val="20"/>
        </w:rPr>
        <w:t>WSCC’s tagging changes to Version 5 of Policy 3</w:t>
      </w:r>
    </w:p>
    <w:p>
      <w:pPr>
        <w:pStyle w:val="Heading1"/>
        <w:ind w:hanging="0" w:start="0"/>
        <w:rPr>
          <w:rFonts w:ascii="Arial" w:hAnsi="Arial" w:cs="Arial"/>
          <w:color w:val="FF0000"/>
          <w:u w:val="single"/>
        </w:rPr>
      </w:pPr>
      <w:r>
        <w:rPr>
          <w:rFonts w:cs="Arial" w:ascii="Arial" w:hAnsi="Arial"/>
          <w:highlight w:val="yellow"/>
        </w:rPr>
        <w:t>Motion made to accept the following WSCC’s tagging changes</w:t>
      </w:r>
      <w:r>
        <w:rPr>
          <w:rFonts w:cs="Arial" w:ascii="Arial" w:hAnsi="Arial"/>
        </w:rPr>
        <w:t>:</w:t>
      </w:r>
    </w:p>
    <w:p>
      <w:pPr>
        <w:pStyle w:val="Normal"/>
        <w:numPr>
          <w:ilvl w:val="0"/>
          <w:numId w:val="6"/>
        </w:numPr>
        <w:autoSpaceDE w:val="false"/>
        <w:rPr/>
      </w:pPr>
      <w:r>
        <w:rPr>
          <w:rFonts w:cs="Arial" w:ascii="Arial" w:hAnsi="Arial"/>
          <w:sz w:val="24"/>
        </w:rPr>
        <w:t xml:space="preserve">Add the following to third bullet under Section A2.1 - (Deference to the WSCC where Dynamic Interchange Schedules are of known amounts by the sending and receiving control areas, have existing transmission, and the TP's are aware of the amounts are </w:t>
      </w:r>
      <w:r>
        <w:rPr>
          <w:rFonts w:cs="Arial" w:ascii="Arial" w:hAnsi="Arial"/>
          <w:b/>
          <w:bCs/>
          <w:color w:val="FF0000"/>
          <w:sz w:val="24"/>
        </w:rPr>
        <w:t>exempt from being tagged</w:t>
      </w:r>
      <w:r>
        <w:rPr>
          <w:rFonts w:cs="Arial" w:ascii="Arial" w:hAnsi="Arial"/>
          <w:sz w:val="24"/>
        </w:rPr>
        <w:t>.)</w:t>
      </w:r>
      <w:r>
        <w:rPr>
          <w:rFonts w:cs="Arial" w:ascii="Arial" w:hAnsi="Arial"/>
        </w:rPr>
        <w:t xml:space="preserve">  </w:t>
      </w:r>
      <w:r>
        <w:rPr>
          <w:b/>
          <w:bCs/>
          <w:color w:val="FF0000"/>
          <w:sz w:val="24"/>
          <w:highlight w:val="yellow"/>
          <w:u w:val="single"/>
        </w:rPr>
        <w:t>MOTION DID NOT PASS-12-4</w:t>
      </w:r>
      <w:r>
        <w:rPr>
          <w:b/>
          <w:bCs/>
          <w:sz w:val="24"/>
        </w:rPr>
        <w:t xml:space="preserve">. </w:t>
      </w:r>
      <w:r>
        <w:rPr>
          <w:sz w:val="24"/>
        </w:rPr>
        <w:t xml:space="preserve"> </w:t>
      </w:r>
    </w:p>
    <w:p>
      <w:pPr>
        <w:pStyle w:val="Header"/>
        <w:tabs>
          <w:tab w:val="clear" w:pos="4320"/>
          <w:tab w:val="clear" w:pos="8640"/>
        </w:tabs>
        <w:autoSpaceDE w:val="false"/>
        <w:rPr/>
      </w:pPr>
      <w:r>
        <w:rPr/>
      </w:r>
    </w:p>
    <w:p>
      <w:pPr>
        <w:pStyle w:val="Heading1"/>
        <w:ind w:hanging="0" w:start="0"/>
        <w:rPr>
          <w:rFonts w:ascii="Arial" w:hAnsi="Arial" w:cs="Arial"/>
          <w:b w:val="false"/>
          <w:bCs w:val="false"/>
          <w:szCs w:val="20"/>
        </w:rPr>
      </w:pPr>
      <w:r>
        <w:rPr>
          <w:rFonts w:cs="Arial" w:ascii="Arial" w:hAnsi="Arial"/>
          <w:highlight w:val="yellow"/>
        </w:rPr>
        <w:t>Motion made to accept the following WSCC’s tagging changes:</w:t>
      </w:r>
    </w:p>
    <w:p>
      <w:pPr>
        <w:pStyle w:val="Normal"/>
        <w:numPr>
          <w:ilvl w:val="0"/>
          <w:numId w:val="9"/>
        </w:numPr>
        <w:autoSpaceDE w:val="false"/>
        <w:rPr>
          <w:b/>
          <w:bCs/>
          <w:sz w:val="24"/>
          <w:u w:val="single"/>
        </w:rPr>
      </w:pPr>
      <w:r>
        <w:rPr>
          <w:rFonts w:cs="Arial" w:ascii="Arial" w:hAnsi="Arial"/>
          <w:sz w:val="24"/>
        </w:rPr>
        <w:t xml:space="preserve">Add the following to the fourth bullet under Section A2.1 - (Deference to the WSCC where existing procedure require notification of bilateral payback to be made via the WSCC Messaging network, amounts are limited to 25 megawatts per hour unless all parties are notified are </w:t>
      </w:r>
      <w:r>
        <w:rPr>
          <w:rFonts w:cs="Arial" w:ascii="Arial" w:hAnsi="Arial"/>
          <w:b/>
          <w:bCs/>
          <w:color w:val="FF0000"/>
          <w:sz w:val="24"/>
        </w:rPr>
        <w:t>exempt from being tagged</w:t>
      </w:r>
      <w:r>
        <w:rPr>
          <w:rFonts w:cs="Arial" w:ascii="Arial" w:hAnsi="Arial"/>
          <w:sz w:val="24"/>
        </w:rPr>
        <w:t xml:space="preserve">.  Amount in excess of 25 megawatts per hour will be tagged.)  </w:t>
      </w:r>
      <w:r>
        <w:rPr>
          <w:b/>
          <w:bCs/>
          <w:color w:val="FF0000"/>
          <w:sz w:val="24"/>
          <w:highlight w:val="yellow"/>
          <w:u w:val="single"/>
        </w:rPr>
        <w:t>MOTION DID NOT PASS-14-3</w:t>
      </w:r>
      <w:r>
        <w:rPr>
          <w:b/>
          <w:bCs/>
          <w:sz w:val="24"/>
        </w:rPr>
        <w:t xml:space="preserve">. </w:t>
      </w:r>
      <w:r>
        <w:rPr>
          <w:sz w:val="24"/>
        </w:rPr>
        <w:t xml:space="preserve"> The NERC IS’s general consensus is that all schedules should be tagged.</w:t>
      </w:r>
    </w:p>
    <w:p>
      <w:pPr>
        <w:pStyle w:val="Normal"/>
        <w:autoSpaceDE w:val="false"/>
        <w:ind w:start="360" w:end="0"/>
        <w:rPr>
          <w:b/>
          <w:bCs/>
          <w:sz w:val="24"/>
          <w:u w:val="single"/>
        </w:rPr>
      </w:pPr>
      <w:r>
        <w:rPr>
          <w:b/>
          <w:bCs/>
          <w:sz w:val="24"/>
          <w:u w:val="single"/>
        </w:rPr>
      </w:r>
    </w:p>
    <w:p>
      <w:pPr>
        <w:pStyle w:val="Normal"/>
        <w:rPr>
          <w:rFonts w:ascii="Arial" w:hAnsi="Arial" w:cs="Arial"/>
          <w:b/>
          <w:bCs/>
          <w:color w:val="0000FF"/>
          <w:sz w:val="24"/>
        </w:rPr>
      </w:pPr>
      <w:r>
        <w:rPr>
          <w:rFonts w:cs="Arial" w:ascii="Arial" w:hAnsi="Arial"/>
          <w:b/>
          <w:bCs/>
          <w:sz w:val="24"/>
          <w:highlight w:val="yellow"/>
          <w:u w:val="single"/>
        </w:rPr>
        <w:t>Motion made to accept the WSCC’s Timing</w:t>
      </w:r>
      <w:r>
        <w:rPr>
          <w:rFonts w:cs="Arial" w:ascii="Arial" w:hAnsi="Arial"/>
          <w:b/>
          <w:bCs/>
          <w:sz w:val="24"/>
        </w:rPr>
        <w:t xml:space="preserve"> table to be included in V5 of policy 3 for 1.7 E-tagging</w:t>
      </w:r>
      <w:r>
        <w:rPr>
          <w:rFonts w:cs="Arial" w:ascii="Arial" w:hAnsi="Arial"/>
          <w:sz w:val="24"/>
        </w:rPr>
        <w:t xml:space="preserve"> </w:t>
      </w:r>
      <w:r>
        <w:rPr>
          <w:rFonts w:cs="Arial" w:ascii="Arial" w:hAnsi="Arial"/>
          <w:b/>
          <w:bCs/>
          <w:sz w:val="24"/>
          <w:highlight w:val="yellow"/>
          <w:u w:val="single"/>
        </w:rPr>
        <w:t>with the TISWG/OSC</w:t>
      </w:r>
      <w:r>
        <w:rPr>
          <w:rFonts w:cs="Arial" w:ascii="Arial" w:hAnsi="Arial"/>
          <w:b/>
          <w:bCs/>
          <w:sz w:val="24"/>
        </w:rPr>
        <w:t xml:space="preserve"> changes-</w:t>
      </w:r>
      <w:r>
        <w:rPr>
          <w:b/>
          <w:bCs/>
          <w:color w:val="FF0000"/>
          <w:sz w:val="24"/>
          <w:highlight w:val="yellow"/>
          <w:u w:val="single"/>
        </w:rPr>
        <w:t>MOTION PASSED</w:t>
      </w:r>
    </w:p>
    <w:p>
      <w:pPr>
        <w:pStyle w:val="Normal"/>
        <w:rPr>
          <w:rFonts w:ascii="Arial" w:hAnsi="Arial" w:cs="Arial"/>
          <w:b/>
          <w:bCs/>
          <w:color w:val="0000FF"/>
          <w:sz w:val="24"/>
        </w:rPr>
      </w:pPr>
      <w:r>
        <w:rPr>
          <w:rFonts w:cs="Arial" w:ascii="Arial" w:hAnsi="Arial"/>
          <w:b/>
          <w:bCs/>
          <w:color w:val="0000FF"/>
          <w:sz w:val="24"/>
        </w:rPr>
      </w:r>
    </w:p>
    <w:tbl>
      <w:tblPr>
        <w:tblW w:w="10728" w:type="dxa"/>
        <w:jc w:val="start"/>
        <w:tblInd w:w="0" w:type="dxa"/>
        <w:tblLayout w:type="fixed"/>
        <w:tblCellMar>
          <w:top w:w="0" w:type="dxa"/>
          <w:start w:w="108" w:type="dxa"/>
          <w:bottom w:w="0" w:type="dxa"/>
          <w:end w:w="108" w:type="dxa"/>
        </w:tblCellMar>
      </w:tblPr>
      <w:tblGrid>
        <w:gridCol w:w="1837"/>
        <w:gridCol w:w="1511"/>
        <w:gridCol w:w="1779"/>
        <w:gridCol w:w="1891"/>
        <w:gridCol w:w="1838"/>
        <w:gridCol w:w="1838"/>
        <w:gridCol w:w="34"/>
      </w:tblGrid>
      <w:tr>
        <w:trPr/>
        <w:tc>
          <w:tcPr>
            <w:tcW w:w="1837"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Transaction Start/Submittal time</w:t>
            </w:r>
          </w:p>
        </w:tc>
        <w:tc>
          <w:tcPr>
            <w:tcW w:w="1511"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Late Status Deadline</w:t>
            </w:r>
          </w:p>
        </w:tc>
        <w:tc>
          <w:tcPr>
            <w:tcW w:w="1779"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Actual Tag Submission Time</w:t>
            </w:r>
          </w:p>
        </w:tc>
        <w:tc>
          <w:tcPr>
            <w:tcW w:w="1891"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Provider Assessment Time</w:t>
            </w:r>
          </w:p>
        </w:tc>
        <w:tc>
          <w:tcPr>
            <w:tcW w:w="1838"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Approval/Denial Notes</w:t>
            </w:r>
          </w:p>
        </w:tc>
        <w:tc>
          <w:tcPr>
            <w:tcW w:w="1838"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Time to Start of Transaction</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c>
          <w:tcPr>
            <w:tcW w:w="1837"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rFonts w:ascii="Arial" w:hAnsi="Arial" w:cs="Arial"/>
                <w:b/>
                <w:sz w:val="18"/>
              </w:rPr>
            </w:pPr>
            <w:r>
              <w:rPr>
                <w:rFonts w:cs="Arial" w:ascii="Arial" w:hAnsi="Arial"/>
                <w:b/>
              </w:rPr>
              <w:t>Start 00:00 next day or beyond when submitted prior to 18:00 of the current day</w:t>
            </w:r>
          </w:p>
        </w:tc>
        <w:tc>
          <w:tcPr>
            <w:tcW w:w="1511"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rFonts w:ascii="Arial" w:hAnsi="Arial" w:cs="Arial"/>
                <w:b/>
                <w:sz w:val="18"/>
              </w:rPr>
            </w:pPr>
            <w:r>
              <w:rPr>
                <w:rFonts w:cs="Arial" w:ascii="Arial" w:hAnsi="Arial"/>
                <w:b/>
              </w:rPr>
              <w:t>15:00 day prior to start</w:t>
            </w:r>
          </w:p>
        </w:tc>
        <w:tc>
          <w:tcPr>
            <w:tcW w:w="1779"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rFonts w:ascii="Arial" w:hAnsi="Arial" w:cs="Arial"/>
                <w:b/>
                <w:sz w:val="18"/>
              </w:rPr>
            </w:pPr>
            <w:r>
              <w:rPr>
                <w:rFonts w:cs="Arial" w:ascii="Arial" w:hAnsi="Arial"/>
                <w:b/>
              </w:rPr>
              <w:t>Any</w:t>
            </w:r>
          </w:p>
        </w:tc>
        <w:tc>
          <w:tcPr>
            <w:tcW w:w="1891"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rFonts w:ascii="Arial" w:hAnsi="Arial" w:cs="Arial"/>
                <w:b/>
                <w:sz w:val="18"/>
              </w:rPr>
            </w:pPr>
            <w:r>
              <w:rPr>
                <w:rFonts w:cs="Arial" w:ascii="Arial" w:hAnsi="Arial"/>
                <w:b/>
                <w:sz w:val="18"/>
              </w:rPr>
              <w:t>3 hours</w:t>
            </w:r>
          </w:p>
        </w:tc>
        <w:tc>
          <w:tcPr>
            <w:tcW w:w="1838"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rFonts w:ascii="Arial" w:hAnsi="Arial" w:cs="Arial"/>
                <w:b/>
                <w:sz w:val="18"/>
              </w:rPr>
            </w:pPr>
            <w:r>
              <w:rPr>
                <w:rFonts w:cs="Arial" w:ascii="Arial" w:hAnsi="Arial"/>
                <w:b/>
                <w:sz w:val="18"/>
              </w:rPr>
              <w:t>Passive Approval if submitted before deadline, else Passive Denial. Deferred denial</w:t>
            </w:r>
          </w:p>
        </w:tc>
        <w:tc>
          <w:tcPr>
            <w:tcW w:w="1838" w:type="dxa"/>
            <w:tcBorders>
              <w:top w:val="single" w:sz="4" w:space="0" w:color="000000"/>
              <w:start w:val="single" w:sz="4" w:space="0" w:color="000000"/>
              <w:bottom w:val="single" w:sz="4" w:space="0" w:color="000000"/>
              <w:end w:val="single" w:sz="4" w:space="0" w:color="000000"/>
            </w:tcBorders>
            <w:shd w:fill="FF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6 Hours</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rHeight w:val="890" w:hRule="atLeast"/>
        </w:trPr>
        <w:tc>
          <w:tcPr>
            <w:tcW w:w="1837"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Start 00:00 next day and submitted between 18:00 and 23:59:59 on day prior to start-- OR -- start within current day</w:t>
            </w:r>
          </w:p>
        </w:tc>
        <w:tc>
          <w:tcPr>
            <w:tcW w:w="1511" w:type="dxa"/>
            <w:tcBorders>
              <w:top w:val="single" w:sz="4" w:space="0" w:color="000000"/>
              <w:start w:val="single" w:sz="4" w:space="0" w:color="000000"/>
              <w:bottom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779"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 Hours prior to start</w:t>
            </w:r>
          </w:p>
        </w:tc>
        <w:tc>
          <w:tcPr>
            <w:tcW w:w="1891"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2 Hours from tag receipt</w:t>
            </w:r>
          </w:p>
        </w:tc>
        <w:tc>
          <w:tcPr>
            <w:tcW w:w="1838"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Passive Approval Deferred denial</w:t>
            </w:r>
          </w:p>
        </w:tc>
        <w:tc>
          <w:tcPr>
            <w:tcW w:w="1838"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 Hours</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rHeight w:val="890" w:hRule="atLeast"/>
        </w:trPr>
        <w:tc>
          <w:tcPr>
            <w:tcW w:w="1837" w:type="dxa"/>
            <w:tcBorders>
              <w:top w:val="single" w:sz="4" w:space="0" w:color="000000"/>
              <w:start w:val="single" w:sz="4" w:space="0" w:color="000000"/>
              <w:bottom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511" w:type="dxa"/>
            <w:tcBorders>
              <w:top w:val="single" w:sz="4" w:space="0" w:color="000000"/>
              <w:start w:val="single" w:sz="4" w:space="0" w:color="000000"/>
              <w:bottom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779"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3c"/>
            </w:r>
            <w:r>
              <w:rPr>
                <w:rFonts w:cs="Arial" w:ascii="Arial" w:hAnsi="Arial"/>
                <w:b/>
                <w:sz w:val="18"/>
              </w:rPr>
              <w:t xml:space="preserve">4 Hours to </w:t>
            </w:r>
            <w:r>
              <w:rPr>
                <w:rFonts w:eastAsia="Symbol" w:cs="Symbol" w:ascii="Symbol" w:hAnsi="Symbol"/>
                <w:b/>
                <w:sz w:val="18"/>
              </w:rPr>
              <w:sym w:font="Symbol" w:char="f0b3"/>
            </w:r>
            <w:r>
              <w:rPr>
                <w:rFonts w:cs="Arial" w:ascii="Arial" w:hAnsi="Arial"/>
                <w:b/>
                <w:sz w:val="18"/>
              </w:rPr>
              <w:t>1 Hour prior to start</w:t>
            </w:r>
          </w:p>
        </w:tc>
        <w:tc>
          <w:tcPr>
            <w:tcW w:w="1891"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20 minutes from tag receipt</w:t>
            </w:r>
          </w:p>
        </w:tc>
        <w:tc>
          <w:tcPr>
            <w:tcW w:w="1838"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Passive Approval Deferred denial</w:t>
            </w:r>
          </w:p>
        </w:tc>
        <w:tc>
          <w:tcPr>
            <w:tcW w:w="1838" w:type="dxa"/>
            <w:tcBorders>
              <w:top w:val="single" w:sz="4" w:space="0" w:color="000000"/>
              <w:start w:val="single" w:sz="4" w:space="0" w:color="000000"/>
              <w:bottom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40 Min</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rHeight w:val="890" w:hRule="atLeast"/>
        </w:trPr>
        <w:tc>
          <w:tcPr>
            <w:tcW w:w="1837" w:type="dxa"/>
            <w:tcBorders>
              <w:top w:val="single" w:sz="4" w:space="0" w:color="000000"/>
              <w:start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511" w:type="dxa"/>
            <w:tcBorders>
              <w:top w:val="single" w:sz="4" w:space="0" w:color="000000"/>
              <w:start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779"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u w:val="single"/>
              </w:rPr>
            </w:pPr>
            <w:r>
              <w:rPr>
                <w:rFonts w:eastAsia="Symbol" w:cs="Symbol" w:ascii="Symbol" w:hAnsi="Symbol"/>
                <w:b/>
                <w:sz w:val="18"/>
              </w:rPr>
              <w:sym w:font="Symbol" w:char="f03c"/>
            </w:r>
            <w:r>
              <w:rPr>
                <w:rFonts w:cs="Arial" w:ascii="Arial" w:hAnsi="Arial"/>
                <w:b/>
                <w:sz w:val="18"/>
              </w:rPr>
              <w:t xml:space="preserve">1 hour to </w:t>
            </w:r>
            <w:r>
              <w:rPr>
                <w:rFonts w:eastAsia="Symbol" w:cs="Symbol" w:ascii="Symbol" w:hAnsi="Symbol"/>
                <w:b/>
                <w:sz w:val="18"/>
              </w:rPr>
              <w:sym w:font="Symbol" w:char="f0b3"/>
            </w:r>
            <w:r>
              <w:rPr>
                <w:rFonts w:cs="Arial" w:ascii="Arial" w:hAnsi="Arial"/>
                <w:b/>
                <w:sz w:val="18"/>
              </w:rPr>
              <w:t>30 minutes prior to start</w:t>
            </w:r>
          </w:p>
        </w:tc>
        <w:tc>
          <w:tcPr>
            <w:tcW w:w="1891"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10 minutes from tag receipt</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Passive Approval.  Deferred denial</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20 Min</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rHeight w:val="890" w:hRule="atLeast"/>
        </w:trPr>
        <w:tc>
          <w:tcPr>
            <w:tcW w:w="1837" w:type="dxa"/>
            <w:tcBorders>
              <w:top w:val="single" w:sz="4" w:space="0" w:color="000000"/>
              <w:start w:val="single" w:sz="4" w:space="0" w:color="000000"/>
              <w:end w:val="single" w:sz="4" w:space="0" w:color="000000"/>
            </w:tcBorders>
            <w:shd w:fill="00FF00" w:val="clear"/>
          </w:tcPr>
          <w:p>
            <w:pPr>
              <w:pStyle w:val="Normal"/>
              <w:snapToGrid w:val="false"/>
              <w:spacing w:before="120" w:after="120"/>
              <w:rPr>
                <w:rFonts w:ascii="Arial" w:hAnsi="Arial" w:cs="Arial"/>
                <w:b/>
                <w:sz w:val="18"/>
                <w:lang w:val="en-CA" w:eastAsia="en-CA"/>
              </w:rPr>
            </w:pPr>
            <w:r>
              <w:rPr>
                <w:rFonts w:cs="Arial" w:ascii="Arial" w:hAnsi="Arial"/>
                <w:b/>
                <w:sz w:val="18"/>
                <w:lang w:val="en-CA" w:eastAsia="en-CA"/>
              </w:rPr>
              <mc:AlternateContent>
                <mc:Choice Requires="wps">
                  <w:drawing>
                    <wp:anchor behindDoc="0" distT="0" distB="0" distL="114935" distR="114935" simplePos="0" locked="0" layoutInCell="1" allowOverlap="1" relativeHeight="7">
                      <wp:simplePos x="0" y="0"/>
                      <wp:positionH relativeFrom="column">
                        <wp:posOffset>1034415</wp:posOffset>
                      </wp:positionH>
                      <wp:positionV relativeFrom="paragraph">
                        <wp:posOffset>473075</wp:posOffset>
                      </wp:positionV>
                      <wp:extent cx="4000500" cy="2171700"/>
                      <wp:effectExtent l="6985" t="0" r="0" b="12700"/>
                      <wp:wrapNone/>
                      <wp:docPr id="1" name=""/>
                      <a:graphic xmlns:a="http://schemas.openxmlformats.org/drawingml/2006/main">
                        <a:graphicData uri="http://schemas.microsoft.com/office/word/2010/wordprocessingShape">
                          <wps:wsp>
                            <wps:cNvSpPr/>
                            <wps:spPr>
                              <a:xfrm flipV="1">
                                <a:off x="0" y="0"/>
                                <a:ext cx="4000680" cy="2171880"/>
                              </a:xfrm>
                              <a:prstGeom prst="line">
                                <a:avLst/>
                              </a:prstGeom>
                              <a:ln w="28440">
                                <a:solidFill>
                                  <a:srgbClr val="ff0000"/>
                                </a:solidFill>
                                <a:prstDash val="dash"/>
                                <a:miter/>
                                <a:tailEnd len="med" type="triangle" w="med"/>
                              </a:ln>
                            </wps:spPr>
                            <wps:style>
                              <a:lnRef idx="0"/>
                              <a:fillRef idx="0"/>
                              <a:effectRef idx="0"/>
                              <a:fontRef idx="minor"/>
                            </wps:style>
                            <wps:bodyPr/>
                          </wps:wsp>
                        </a:graphicData>
                      </a:graphic>
                    </wp:anchor>
                  </w:drawing>
                </mc:Choice>
                <mc:Fallback>
                  <w:pict>
                    <v:line id="shape_0" from="81.45pt,37.25pt" to="396.4pt,208.2pt" stroked="t" o:allowincell="t" style="position:absolute;flip:y">
                      <v:stroke color="red" weight="28440" dashstyle="dash" endarrow="block" endarrowwidth="medium" endarrowlength="medium" joinstyle="miter" endcap="flat"/>
                      <v:fill o:detectmouseclick="t" on="false"/>
                      <w10:wrap type="none"/>
                    </v:line>
                  </w:pict>
                </mc:Fallback>
              </mc:AlternateContent>
            </w:r>
          </w:p>
        </w:tc>
        <w:tc>
          <w:tcPr>
            <w:tcW w:w="1511" w:type="dxa"/>
            <w:tcBorders>
              <w:top w:val="single" w:sz="4" w:space="0" w:color="000000"/>
              <w:start w:val="single" w:sz="4" w:space="0" w:color="000000"/>
              <w:end w:val="single" w:sz="4" w:space="0" w:color="000000"/>
            </w:tcBorders>
            <w:shd w:fill="00FF00" w:val="clear"/>
          </w:tcPr>
          <w:p>
            <w:pPr>
              <w:pStyle w:val="Normal"/>
              <w:snapToGrid w:val="false"/>
              <w:spacing w:before="120" w:after="120"/>
              <w:rPr>
                <w:rFonts w:ascii="Arial" w:hAnsi="Arial" w:cs="Arial"/>
                <w:b/>
                <w:sz w:val="18"/>
              </w:rPr>
            </w:pPr>
            <w:r>
              <w:rPr>
                <w:rFonts w:cs="Arial" w:ascii="Arial" w:hAnsi="Arial"/>
                <w:b/>
                <w:sz w:val="18"/>
              </w:rPr>
            </w:r>
          </w:p>
        </w:tc>
        <w:tc>
          <w:tcPr>
            <w:tcW w:w="1779"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u w:val="single"/>
              </w:rPr>
            </w:pPr>
            <w:r>
              <w:rPr>
                <w:rFonts w:eastAsia="Symbol" w:cs="Symbol" w:ascii="Symbol" w:hAnsi="Symbol"/>
                <w:b/>
                <w:sz w:val="18"/>
              </w:rPr>
              <w:sym w:font="Symbol" w:char="f03c"/>
            </w:r>
            <w:r>
              <w:rPr>
                <w:rFonts w:cs="Arial" w:ascii="Arial" w:hAnsi="Arial"/>
                <w:b/>
                <w:sz w:val="18"/>
              </w:rPr>
              <w:t xml:space="preserve">30 minutes to </w:t>
            </w:r>
            <w:r>
              <w:rPr>
                <w:rFonts w:eastAsia="Symbol" w:cs="Symbol" w:ascii="Symbol" w:hAnsi="Symbol"/>
                <w:b/>
                <w:sz w:val="18"/>
              </w:rPr>
              <w:sym w:font="Symbol" w:char="f0b3"/>
            </w:r>
            <w:r>
              <w:rPr>
                <w:rFonts w:cs="Arial" w:ascii="Arial" w:hAnsi="Arial"/>
                <w:b/>
                <w:sz w:val="18"/>
              </w:rPr>
              <w:t>20 minutes prior to start</w:t>
            </w:r>
          </w:p>
        </w:tc>
        <w:tc>
          <w:tcPr>
            <w:tcW w:w="1891"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10 minutes from tag receipt</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highlight w:val="yellow"/>
              </w:rPr>
            </w:pPr>
            <w:r>
              <w:rPr>
                <w:rFonts w:cs="Arial" w:ascii="Arial" w:hAnsi="Arial"/>
                <w:b/>
                <w:sz w:val="18"/>
                <w:highlight w:val="yellow"/>
              </w:rPr>
              <w:t>Passive Approval.  No deferred denial.</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10 Min</w:t>
            </w:r>
          </w:p>
        </w:tc>
        <w:tc>
          <w:tcPr>
            <w:tcW w:w="34" w:type="dxa"/>
            <w:tcBorders/>
            <w:tcMar>
              <w:start w:w="0" w:type="dxa"/>
              <w:end w:w="0" w:type="dxa"/>
            </w:tcMar>
          </w:tcPr>
          <w:p>
            <w:pPr>
              <w:pStyle w:val="Normal"/>
              <w:snapToGrid w:val="false"/>
              <w:rPr>
                <w:rFonts w:ascii="Arial" w:hAnsi="Arial" w:cs="Arial"/>
                <w:b/>
                <w:sz w:val="18"/>
              </w:rPr>
            </w:pPr>
            <w:r>
              <w:rPr>
                <w:rFonts w:cs="Arial" w:ascii="Arial" w:hAnsi="Arial"/>
                <w:b/>
                <w:sz w:val="18"/>
              </w:rPr>
            </w:r>
          </w:p>
        </w:tc>
      </w:tr>
      <w:tr>
        <w:trPr>
          <w:trHeight w:val="890" w:hRule="atLeast"/>
        </w:trPr>
        <w:tc>
          <w:tcPr>
            <w:tcW w:w="1837" w:type="dxa"/>
            <w:tcBorders>
              <w:top w:val="single" w:sz="4" w:space="0" w:color="000000"/>
              <w:start w:val="single" w:sz="4" w:space="0" w:color="000000"/>
              <w:end w:val="single" w:sz="4" w:space="0" w:color="000000"/>
            </w:tcBorders>
            <w:shd w:fill="00FF00" w:val="clear"/>
          </w:tcPr>
          <w:p>
            <w:pPr>
              <w:pStyle w:val="Normal"/>
              <w:snapToGrid w:val="false"/>
              <w:spacing w:before="120" w:after="120"/>
              <w:rPr>
                <w:rFonts w:ascii="Arial" w:hAnsi="Arial" w:cs="Arial"/>
                <w:b/>
                <w:sz w:val="18"/>
                <w:lang w:val="en-CA" w:eastAsia="en-CA"/>
              </w:rPr>
            </w:pPr>
            <w:r>
              <w:rPr>
                <w:rFonts w:cs="Arial" w:ascii="Arial" w:hAnsi="Arial"/>
                <w:b/>
                <w:sz w:val="18"/>
                <w:lang w:val="en-CA" w:eastAsia="en-CA"/>
              </w:rPr>
              <mc:AlternateContent>
                <mc:Choice Requires="wps">
                  <w:drawing>
                    <wp:anchor behindDoc="0" distT="0" distB="0" distL="114935" distR="114935" simplePos="0" locked="0" layoutInCell="1" allowOverlap="1" relativeHeight="8">
                      <wp:simplePos x="0" y="0"/>
                      <wp:positionH relativeFrom="column">
                        <wp:posOffset>1081405</wp:posOffset>
                      </wp:positionH>
                      <wp:positionV relativeFrom="paragraph">
                        <wp:posOffset>474345</wp:posOffset>
                      </wp:positionV>
                      <wp:extent cx="3314700" cy="1600200"/>
                      <wp:effectExtent l="6350" t="1905" r="0" b="13335"/>
                      <wp:wrapNone/>
                      <wp:docPr id="2" name=""/>
                      <a:graphic xmlns:a="http://schemas.openxmlformats.org/drawingml/2006/main">
                        <a:graphicData uri="http://schemas.microsoft.com/office/word/2010/wordprocessingShape">
                          <wps:wsp>
                            <wps:cNvSpPr/>
                            <wps:spPr>
                              <a:xfrm flipV="1">
                                <a:off x="0" y="0"/>
                                <a:ext cx="3314880" cy="1600200"/>
                              </a:xfrm>
                              <a:prstGeom prst="line">
                                <a:avLst/>
                              </a:prstGeom>
                              <a:ln w="28440">
                                <a:solidFill>
                                  <a:srgbClr val="ff0000"/>
                                </a:solidFill>
                                <a:prstDash val="dash"/>
                                <a:miter/>
                                <a:tailEnd len="med" type="triangle" w="med"/>
                              </a:ln>
                            </wps:spPr>
                            <wps:style>
                              <a:lnRef idx="0"/>
                              <a:fillRef idx="0"/>
                              <a:effectRef idx="0"/>
                              <a:fontRef idx="minor"/>
                            </wps:style>
                            <wps:bodyPr/>
                          </wps:wsp>
                        </a:graphicData>
                      </a:graphic>
                    </wp:anchor>
                  </w:drawing>
                </mc:Choice>
                <mc:Fallback>
                  <w:pict>
                    <v:line id="shape_0" from="85.15pt,37.35pt" to="346.1pt,163.3pt" stroked="t" o:allowincell="t" style="position:absolute;flip:y">
                      <v:stroke color="red" weight="2844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1080135</wp:posOffset>
                      </wp:positionH>
                      <wp:positionV relativeFrom="paragraph">
                        <wp:posOffset>354330</wp:posOffset>
                      </wp:positionV>
                      <wp:extent cx="4914900" cy="1714500"/>
                      <wp:effectExtent l="5080" t="12700" r="0" b="13970"/>
                      <wp:wrapNone/>
                      <wp:docPr id="3" name=""/>
                      <a:graphic xmlns:a="http://schemas.openxmlformats.org/drawingml/2006/main">
                        <a:graphicData uri="http://schemas.microsoft.com/office/word/2010/wordprocessingShape">
                          <wps:wsp>
                            <wps:cNvSpPr/>
                            <wps:spPr>
                              <a:xfrm flipV="1">
                                <a:off x="0" y="0"/>
                                <a:ext cx="4915080" cy="1714680"/>
                              </a:xfrm>
                              <a:prstGeom prst="line">
                                <a:avLst/>
                              </a:prstGeom>
                              <a:ln w="28440">
                                <a:solidFill>
                                  <a:srgbClr val="ff0000"/>
                                </a:solidFill>
                                <a:prstDash val="dash"/>
                                <a:miter/>
                                <a:tailEnd len="med" type="triangle" w="med"/>
                              </a:ln>
                            </wps:spPr>
                            <wps:style>
                              <a:lnRef idx="0"/>
                              <a:fillRef idx="0"/>
                              <a:effectRef idx="0"/>
                              <a:fontRef idx="minor"/>
                            </wps:style>
                            <wps:bodyPr/>
                          </wps:wsp>
                        </a:graphicData>
                      </a:graphic>
                    </wp:anchor>
                  </w:drawing>
                </mc:Choice>
                <mc:Fallback>
                  <w:pict>
                    <v:line id="shape_0" from="85.05pt,27.9pt" to="472pt,162.85pt" stroked="t" o:allowincell="t" style="position:absolute;flip:y">
                      <v:stroke color="red" weight="28440" dashstyle="dash" endarrow="block" endarrowwidth="medium" endarrowlength="medium" joinstyle="miter" endcap="flat"/>
                      <v:fill o:detectmouseclick="t" on="false"/>
                      <w10:wrap type="none"/>
                    </v:line>
                  </w:pict>
                </mc:Fallback>
              </mc:AlternateContent>
            </w:r>
          </w:p>
        </w:tc>
        <w:tc>
          <w:tcPr>
            <w:tcW w:w="1511"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20 minutes prior to start</w:t>
            </w:r>
          </w:p>
        </w:tc>
        <w:tc>
          <w:tcPr>
            <w:tcW w:w="1779"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u w:val="single"/>
              </w:rPr>
            </w:pPr>
            <w:r>
              <w:rPr>
                <w:rFonts w:eastAsia="Arial" w:cs="Arial" w:ascii="Arial" w:hAnsi="Arial"/>
                <w:b/>
                <w:sz w:val="18"/>
              </w:rPr>
              <w:t xml:space="preserve"> </w:t>
            </w:r>
            <w:r>
              <w:rPr>
                <w:rFonts w:eastAsia="Symbol" w:cs="Symbol" w:ascii="Symbol" w:hAnsi="Symbol"/>
                <w:b/>
                <w:sz w:val="18"/>
              </w:rPr>
              <w:sym w:font="Symbol" w:char="f03c"/>
            </w:r>
            <w:r>
              <w:rPr>
                <w:rFonts w:cs="Arial" w:ascii="Arial" w:hAnsi="Arial"/>
                <w:b/>
                <w:sz w:val="18"/>
              </w:rPr>
              <w:t>20 minutes prior to start</w:t>
            </w:r>
          </w:p>
        </w:tc>
        <w:tc>
          <w:tcPr>
            <w:tcW w:w="1891"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5 minutes from tag receipt</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highlight w:val="yellow"/>
              </w:rPr>
            </w:pPr>
            <w:r>
              <w:rPr>
                <w:rFonts w:cs="Arial" w:ascii="Arial" w:hAnsi="Arial"/>
                <w:b/>
                <w:sz w:val="18"/>
                <w:highlight w:val="yellow"/>
              </w:rPr>
              <w:t>Passive Denial.  No deferred denial.</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pPr>
            <w:r>
              <w:rPr>
                <w:rFonts w:eastAsia="Symbol" w:cs="Symbol" w:ascii="Symbol" w:hAnsi="Symbol"/>
                <w:b/>
                <w:sz w:val="18"/>
                <w:highlight w:val="yellow"/>
              </w:rPr>
              <w:sym w:font="Symbol" w:char="f0b3"/>
            </w:r>
            <w:r>
              <w:rPr>
                <w:rFonts w:eastAsia="Arial" w:cs="Arial" w:ascii="Arial" w:hAnsi="Arial"/>
                <w:b/>
                <w:sz w:val="18"/>
                <w:highlight w:val="yellow"/>
              </w:rPr>
              <w:t xml:space="preserve"> </w:t>
            </w:r>
            <w:r>
              <w:rPr>
                <w:rFonts w:cs="Arial" w:ascii="Arial" w:hAnsi="Arial"/>
                <w:b/>
                <w:sz w:val="18"/>
                <w:highlight w:val="yellow"/>
              </w:rPr>
              <w:t>15 Min</w:t>
            </w:r>
          </w:p>
        </w:tc>
        <w:tc>
          <w:tcPr>
            <w:tcW w:w="34" w:type="dxa"/>
            <w:tcBorders/>
            <w:tcMar>
              <w:start w:w="0" w:type="dxa"/>
              <w:end w:w="0" w:type="dxa"/>
            </w:tcMar>
          </w:tcPr>
          <w:p>
            <w:pPr>
              <w:pStyle w:val="Normal"/>
              <w:snapToGrid w:val="false"/>
              <w:rPr>
                <w:rFonts w:ascii="Arial" w:hAnsi="Arial" w:cs="Arial"/>
                <w:b/>
                <w:sz w:val="18"/>
                <w:highlight w:val="yellow"/>
              </w:rPr>
            </w:pPr>
            <w:r>
              <w:rPr>
                <w:rFonts w:cs="Arial" w:ascii="Arial" w:hAnsi="Arial"/>
                <w:b/>
                <w:sz w:val="18"/>
                <w:highlight w:val="yellow"/>
              </w:rPr>
            </w:r>
          </w:p>
        </w:tc>
      </w:tr>
      <w:tr>
        <w:trPr>
          <w:trHeight w:val="890" w:hRule="atLeast"/>
        </w:trPr>
        <w:tc>
          <w:tcPr>
            <w:tcW w:w="10728" w:type="dxa"/>
            <w:gridSpan w:val="7"/>
            <w:tcBorders>
              <w:top w:val="single" w:sz="4" w:space="0" w:color="000000"/>
              <w:start w:val="single" w:sz="4" w:space="0" w:color="000000"/>
              <w:bottom w:val="single" w:sz="4" w:space="0" w:color="000000"/>
              <w:end w:val="single" w:sz="4" w:space="0" w:color="000000"/>
            </w:tcBorders>
            <w:shd w:fill="00FFFF" w:val="clear"/>
          </w:tcPr>
          <w:p>
            <w:pPr>
              <w:pStyle w:val="Normal"/>
              <w:rPr/>
            </w:pPr>
            <w:r>
              <w:rPr/>
              <w:t>Notes/Clarification:</w:t>
            </w:r>
          </w:p>
          <w:p>
            <w:pPr>
              <w:pStyle w:val="Normal"/>
              <w:numPr>
                <w:ilvl w:val="0"/>
                <w:numId w:val="5"/>
              </w:numPr>
              <w:rPr>
                <w:rFonts w:ascii="Arial" w:hAnsi="Arial" w:cs="Arial"/>
                <w:b/>
                <w:sz w:val="18"/>
              </w:rPr>
            </w:pPr>
            <w:r>
              <w:rPr/>
              <w:t>All clock times are in PPT.</w:t>
            </w:r>
          </w:p>
          <w:p>
            <w:pPr>
              <w:pStyle w:val="Normal"/>
              <w:numPr>
                <w:ilvl w:val="0"/>
                <w:numId w:val="5"/>
              </w:numPr>
              <w:rPr>
                <w:rFonts w:ascii="Arial" w:hAnsi="Arial" w:cs="Arial"/>
                <w:b/>
                <w:sz w:val="18"/>
              </w:rPr>
            </w:pPr>
            <w:r>
              <w:rPr/>
              <w:t>Tags falling under the criteria in yellow are deemed pre-schedule tags.</w:t>
            </w:r>
          </w:p>
          <w:p>
            <w:pPr>
              <w:pStyle w:val="Normal"/>
              <w:numPr>
                <w:ilvl w:val="0"/>
                <w:numId w:val="5"/>
              </w:numPr>
              <w:rPr>
                <w:rFonts w:ascii="Arial" w:hAnsi="Arial" w:cs="Arial"/>
                <w:b/>
                <w:sz w:val="18"/>
              </w:rPr>
            </w:pPr>
            <w:r>
              <w:rPr/>
              <w:t>Tags falling under the criteria in green are deemed real-time tags.</w:t>
            </w:r>
          </w:p>
          <w:p>
            <w:pPr>
              <w:pStyle w:val="Normal"/>
              <w:numPr>
                <w:ilvl w:val="0"/>
                <w:numId w:val="5"/>
              </w:numPr>
              <w:rPr>
                <w:rFonts w:ascii="Arial" w:hAnsi="Arial" w:cs="Arial"/>
                <w:b/>
                <w:sz w:val="18"/>
              </w:rPr>
            </w:pPr>
            <w:r>
              <w:rPr/>
              <w:t>Pre-schedule tags submitted between 15:00 and 18:00 will be assigned LATE composite status.</w:t>
            </w:r>
          </w:p>
          <w:p>
            <w:pPr>
              <w:pStyle w:val="Normal"/>
              <w:numPr>
                <w:ilvl w:val="0"/>
                <w:numId w:val="5"/>
              </w:numPr>
              <w:rPr>
                <w:rFonts w:ascii="Arial" w:hAnsi="Arial" w:cs="Arial"/>
                <w:b/>
                <w:sz w:val="18"/>
              </w:rPr>
            </w:pPr>
            <w:r>
              <w:rPr/>
              <w:t>Real-time tags submitted after 20 minutes prior to the start of the transaction will be assigned LATE composite status.</w:t>
            </w:r>
          </w:p>
        </w:tc>
      </w:tr>
    </w:tbl>
    <w:p>
      <w:pPr>
        <w:pStyle w:val="Normal"/>
        <w:rPr>
          <w:rFonts w:ascii="Arial" w:hAnsi="Arial" w:cs="Arial"/>
          <w:sz w:val="24"/>
        </w:rPr>
      </w:pPr>
      <w:r>
        <w:rPr>
          <w:rFonts w:cs="Arial" w:ascii="Arial" w:hAnsi="Arial"/>
          <w:sz w:val="24"/>
        </w:rPr>
      </w:r>
    </w:p>
    <w:p>
      <w:pPr>
        <w:pStyle w:val="Heading2"/>
        <w:ind w:hanging="0" w:start="0"/>
        <w:rPr>
          <w:b/>
          <w:bCs/>
          <w:highlight w:val="yellow"/>
        </w:rPr>
      </w:pPr>
      <w:r>
        <w:rPr>
          <w:b/>
          <w:bCs/>
          <w:highlight w:val="yellow"/>
        </w:rPr>
        <w:t>TSWIG/OSC changed the following sections:</w:t>
      </w:r>
    </w:p>
    <w:tbl>
      <w:tblPr>
        <w:tblW w:w="3676" w:type="dxa"/>
        <w:jc w:val="start"/>
        <w:tblInd w:w="0" w:type="dxa"/>
        <w:tblLayout w:type="fixed"/>
        <w:tblCellMar>
          <w:top w:w="0" w:type="dxa"/>
          <w:start w:w="108" w:type="dxa"/>
          <w:bottom w:w="0" w:type="dxa"/>
          <w:end w:w="108" w:type="dxa"/>
        </w:tblCellMar>
      </w:tblPr>
      <w:tblGrid>
        <w:gridCol w:w="1838"/>
        <w:gridCol w:w="1838"/>
      </w:tblGrid>
      <w:tr>
        <w:trPr>
          <w:trHeight w:val="890" w:hRule="atLeast"/>
        </w:trPr>
        <w:tc>
          <w:tcPr>
            <w:tcW w:w="1838"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 xml:space="preserve">Passive Approval.  </w:t>
            </w:r>
            <w:r>
              <w:rPr>
                <w:rFonts w:cs="Arial" w:ascii="Arial" w:hAnsi="Arial"/>
                <w:b/>
                <w:dstrike/>
                <w:color w:val="FF0000"/>
                <w:sz w:val="24"/>
              </w:rPr>
              <w:t xml:space="preserve">No </w:t>
            </w:r>
            <w:r>
              <w:rPr>
                <w:rFonts w:cs="Arial" w:ascii="Arial" w:hAnsi="Arial"/>
                <w:b/>
                <w:color w:val="0000FF"/>
                <w:sz w:val="24"/>
                <w:highlight w:val="yellow"/>
              </w:rPr>
              <w:t>deferred denial</w:t>
            </w:r>
            <w:r>
              <w:rPr>
                <w:rFonts w:cs="Arial" w:ascii="Arial" w:hAnsi="Arial"/>
                <w:b/>
                <w:color w:val="0000FF"/>
                <w:sz w:val="24"/>
              </w:rPr>
              <w:t>.</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10 Min</w:t>
            </w:r>
          </w:p>
        </w:tc>
      </w:tr>
      <w:tr>
        <w:trPr>
          <w:trHeight w:val="890" w:hRule="atLeast"/>
        </w:trPr>
        <w:tc>
          <w:tcPr>
            <w:tcW w:w="1838" w:type="dxa"/>
            <w:tcBorders>
              <w:top w:val="single" w:sz="4" w:space="0" w:color="000000"/>
              <w:start w:val="single" w:sz="4" w:space="0" w:color="000000"/>
              <w:end w:val="single" w:sz="4" w:space="0" w:color="000000"/>
            </w:tcBorders>
            <w:shd w:fill="00FF00" w:val="clear"/>
          </w:tcPr>
          <w:p>
            <w:pPr>
              <w:pStyle w:val="Normal"/>
              <w:spacing w:before="120" w:after="120"/>
              <w:rPr>
                <w:rFonts w:ascii="Arial" w:hAnsi="Arial" w:cs="Arial"/>
                <w:b/>
                <w:sz w:val="18"/>
              </w:rPr>
            </w:pPr>
            <w:r>
              <w:rPr>
                <w:rFonts w:cs="Arial" w:ascii="Arial" w:hAnsi="Arial"/>
                <w:b/>
                <w:sz w:val="18"/>
              </w:rPr>
              <w:t xml:space="preserve">Passive Denial.  </w:t>
            </w:r>
            <w:r>
              <w:rPr>
                <w:rFonts w:cs="Arial" w:ascii="Arial" w:hAnsi="Arial"/>
                <w:b/>
                <w:dstrike/>
                <w:color w:val="FF0000"/>
                <w:sz w:val="24"/>
              </w:rPr>
              <w:t xml:space="preserve">No </w:t>
            </w:r>
            <w:r>
              <w:rPr>
                <w:rFonts w:cs="Arial" w:ascii="Arial" w:hAnsi="Arial"/>
                <w:b/>
                <w:color w:val="0000FF"/>
                <w:sz w:val="24"/>
                <w:highlight w:val="yellow"/>
              </w:rPr>
              <w:t>deferred denial</w:t>
            </w:r>
            <w:r>
              <w:rPr>
                <w:rFonts w:cs="Arial" w:ascii="Arial" w:hAnsi="Arial"/>
                <w:b/>
                <w:sz w:val="18"/>
                <w:highlight w:val="yellow"/>
              </w:rPr>
              <w:t>.</w:t>
            </w:r>
          </w:p>
        </w:tc>
        <w:tc>
          <w:tcPr>
            <w:tcW w:w="1838" w:type="dxa"/>
            <w:tcBorders>
              <w:top w:val="single" w:sz="4" w:space="0" w:color="000000"/>
              <w:start w:val="single" w:sz="4" w:space="0" w:color="000000"/>
              <w:end w:val="single" w:sz="4" w:space="0" w:color="000000"/>
            </w:tcBorders>
            <w:shd w:fill="00FF00" w:val="clear"/>
          </w:tcPr>
          <w:p>
            <w:pPr>
              <w:pStyle w:val="Normal"/>
              <w:spacing w:before="120" w:after="120"/>
              <w:rPr/>
            </w:pPr>
            <w:r>
              <w:rPr>
                <w:rFonts w:eastAsia="Symbol" w:cs="Symbol" w:ascii="Symbol" w:hAnsi="Symbol"/>
                <w:b/>
                <w:dstrike/>
                <w:color w:val="FF0000"/>
                <w:sz w:val="18"/>
              </w:rPr>
              <w:sym w:font="Symbol" w:char="f0b3"/>
            </w:r>
            <w:r>
              <w:rPr>
                <w:rFonts w:eastAsia="Arial" w:cs="Arial" w:ascii="Arial" w:hAnsi="Arial"/>
                <w:b/>
                <w:dstrike/>
                <w:color w:val="FF0000"/>
                <w:sz w:val="18"/>
              </w:rPr>
              <w:t xml:space="preserve"> </w:t>
            </w:r>
            <w:r>
              <w:rPr>
                <w:rFonts w:cs="Arial" w:ascii="Arial" w:hAnsi="Arial"/>
                <w:b/>
                <w:dstrike/>
                <w:color w:val="FF0000"/>
                <w:sz w:val="18"/>
              </w:rPr>
              <w:t>15 Min</w:t>
            </w:r>
          </w:p>
          <w:p>
            <w:pPr>
              <w:pStyle w:val="Normal"/>
              <w:spacing w:before="120" w:after="120"/>
              <w:rPr>
                <w:rFonts w:ascii="Arial" w:hAnsi="Arial" w:cs="Arial"/>
                <w:b/>
                <w:color w:val="0000FF"/>
                <w:sz w:val="24"/>
              </w:rPr>
            </w:pPr>
            <w:r>
              <w:rPr>
                <w:rFonts w:cs="Arial" w:ascii="Arial" w:hAnsi="Arial"/>
                <w:b/>
                <w:color w:val="0000FF"/>
                <w:sz w:val="24"/>
                <w:highlight w:val="yellow"/>
              </w:rPr>
              <w:t>This would be blank</w:t>
            </w:r>
          </w:p>
        </w:tc>
      </w:tr>
    </w:tbl>
    <w:p>
      <w:pPr>
        <w:pStyle w:val="Normal"/>
        <w:rPr>
          <w:rFonts w:ascii="Arial" w:hAnsi="Arial" w:cs="Arial"/>
          <w:b/>
          <w:bCs/>
          <w:sz w:val="24"/>
        </w:rPr>
      </w:pPr>
      <w:r>
        <w:rPr>
          <w:rFonts w:cs="Arial" w:ascii="Arial" w:hAnsi="Arial"/>
          <w:b/>
          <w:bCs/>
          <w:sz w:val="24"/>
        </w:rPr>
        <w:t>NERC IS reviewed the following WSCC Letters:</w:t>
      </w:r>
    </w:p>
    <w:p>
      <w:pPr>
        <w:pStyle w:val="Heading2"/>
        <w:ind w:hanging="0" w:start="0"/>
        <w:rPr>
          <w:rFonts w:ascii="Times New Roman" w:hAnsi="Times New Roman" w:cs="Times New Roman"/>
          <w:sz w:val="20"/>
        </w:rPr>
      </w:pPr>
      <w:r>
        <w:rPr/>
        <w:t>Leroy Patterson WSCC-letter</w:t>
      </w:r>
    </w:p>
    <w:p>
      <w:pPr>
        <w:pStyle w:val="Header"/>
        <w:tabs>
          <w:tab w:val="clear" w:pos="4320"/>
          <w:tab w:val="clear" w:pos="8640"/>
        </w:tabs>
        <w:rPr/>
      </w:pPr>
      <w:r>
        <w:rPr/>
        <w:t>Subject: E-Tag Requirements</w:t>
      </w:r>
    </w:p>
    <w:p>
      <w:pPr>
        <w:pStyle w:val="Normal"/>
        <w:rPr/>
      </w:pPr>
      <w:r>
        <w:rPr/>
      </w:r>
    </w:p>
    <w:p>
      <w:pPr>
        <w:pStyle w:val="Normal"/>
        <w:rPr/>
      </w:pPr>
      <w:r>
        <w:rPr/>
        <w:t xml:space="preserve">This letter clarifies my previous letter of May 24, 2001.  The OC Members attending the June OC meeting directed me to more clearly state that it is WSCC’s position that </w:t>
      </w:r>
      <w:r>
        <w:rPr>
          <w:b/>
          <w:u w:val="single"/>
        </w:rPr>
        <w:t>all entities should be complying with NERC Policy 3 regarding E-tags</w:t>
      </w:r>
      <w:r>
        <w:rPr/>
        <w:t>.  This letter responds to that directive.  In addition, I have enclosed a letter expressing NERC’s concerns from Mr. Charles Yeung, NERC Interchange Subcommittee Chair, for your information.  I intend to respond to Mr. Yeung’s letter in a separate communication.</w:t>
      </w:r>
    </w:p>
    <w:p>
      <w:pPr>
        <w:pStyle w:val="Normal"/>
        <w:rPr/>
      </w:pPr>
      <w:r>
        <w:rPr/>
      </w:r>
    </w:p>
    <w:p>
      <w:pPr>
        <w:pStyle w:val="Normal"/>
        <w:rPr/>
      </w:pPr>
      <w:r>
        <w:rPr>
          <w:b/>
          <w:i/>
          <w:u w:val="single"/>
        </w:rPr>
        <w:t>Again, all entities are expected to comply with NERC Policy 3.</w:t>
      </w:r>
      <w:r>
        <w:rPr/>
        <w:t xml:space="preserve">  In order to encourage and measure compliance with these existing E-Tag requirements, WSCC is implementing processes to monitor and report non-compliance with E-Tagging requirements.  Further, the Interchange Scheduling and Accounting Subcommittee (ISAS) is meeting as often as needed, to identify solutions and resolve remaining E-Tag concerns as quickly as possible.  OC Members must ensure that suitable systems are available and that personnel are trained and responsible for complying with these E-Tag requirements.  Entities must recognize that non-compliance with NERC Policy 3 imposes a significant burden on compliant entities and that WSCC is responsible for reporting non-compliance to NERC.</w:t>
      </w:r>
    </w:p>
    <w:p>
      <w:pPr>
        <w:pStyle w:val="Normal"/>
        <w:rPr/>
      </w:pPr>
      <w:r>
        <w:rPr/>
      </w:r>
    </w:p>
    <w:p>
      <w:pPr>
        <w:pStyle w:val="Normal"/>
        <w:rPr/>
      </w:pPr>
      <w:r>
        <w:rPr/>
        <w:t xml:space="preserve">I encourage all WSCC OC Members to review their business practices concerning schedules and E-Tags to ensure that NERC Policy 3 is followed. I also encourage entities to participate on related NERC groups such as the Electronic Scheduling Collaborative, the OASIS Scheduling Collaborative, the Interchange Subcommittee, etc. to ensure they have a voice in these processes and are prepared to meet future deadlines.  </w:t>
      </w:r>
    </w:p>
    <w:p>
      <w:pPr>
        <w:pStyle w:val="Normal"/>
        <w:rPr/>
      </w:pPr>
      <w:r>
        <w:rPr/>
        <w:t>M LeRoy Patterson, Chair</w:t>
      </w:r>
    </w:p>
    <w:p>
      <w:pPr>
        <w:pStyle w:val="Normal"/>
        <w:rPr>
          <w:rFonts w:ascii="Arial" w:hAnsi="Arial" w:cs="Arial"/>
          <w:sz w:val="24"/>
        </w:rPr>
      </w:pPr>
      <w:r>
        <w:rPr>
          <w:rFonts w:cs="Arial" w:ascii="Arial" w:hAnsi="Arial"/>
          <w:sz w:val="24"/>
        </w:rPr>
      </w:r>
    </w:p>
    <w:p>
      <w:pPr>
        <w:pStyle w:val="Normal"/>
        <w:rPr/>
      </w:pPr>
      <w:r>
        <w:rPr>
          <w:rFonts w:cs="Arial" w:ascii="Arial" w:hAnsi="Arial"/>
          <w:b/>
          <w:bCs/>
          <w:sz w:val="24"/>
        </w:rPr>
        <w:t>Gordon Scott asked if the WSCC staff via the RMS process can audit the tag compliance?</w:t>
      </w:r>
      <w:r>
        <w:rPr>
          <w:rFonts w:cs="Arial" w:ascii="Arial" w:hAnsi="Arial"/>
          <w:sz w:val="24"/>
        </w:rPr>
        <w:t xml:space="preserve">  Gordon Scoot will contract Didleman and ask him to send the RMS information on their audits.  (Note: The NERC IS would be happy with WSCC’s audit, instead of a NERC audit, if the RMS audit meets all of their requirements). </w:t>
      </w:r>
    </w:p>
    <w:p>
      <w:pPr>
        <w:pStyle w:val="Heading2"/>
        <w:ind w:hanging="0" w:start="0"/>
        <w:rPr/>
      </w:pPr>
      <w:r>
        <w:rPr/>
        <w:t>I gave NERC IS and Gordon Scott the following letter from Robert L. Dintelman</w:t>
      </w:r>
    </w:p>
    <w:p>
      <w:pPr>
        <w:pStyle w:val="Normal"/>
        <w:rPr/>
      </w:pPr>
      <w:r>
        <w:rPr/>
      </w:r>
    </w:p>
    <w:p>
      <w:pPr>
        <w:pStyle w:val="Heading3"/>
        <w:ind w:hanging="0" w:start="0"/>
        <w:rPr/>
      </w:pPr>
      <w:r>
        <w:rPr/>
        <w:t>SUBJECT: Survey to Monitor Compliance with NERC Policy 3</w:t>
        <w:tab/>
        <w:tab/>
        <w:tab/>
      </w:r>
    </w:p>
    <w:p>
      <w:pPr>
        <w:pStyle w:val="Footer"/>
        <w:tabs>
          <w:tab w:val="clear" w:pos="4320"/>
          <w:tab w:val="clear" w:pos="8640"/>
          <w:tab w:val="left" w:pos="1440" w:leader="none"/>
        </w:tabs>
        <w:rPr/>
      </w:pPr>
      <w:r>
        <w:rPr/>
      </w:r>
    </w:p>
    <w:p>
      <w:pPr>
        <w:pStyle w:val="Normal"/>
        <w:rPr/>
      </w:pPr>
      <w:r>
        <w:rPr/>
        <w:t>By letters dated May 7 and May 25, 2001 to the Operations Committee (attached), OC Chair LeRoy Patterson reminded WSCC members of their obligation to comply with NERC Policy 3 in all respects except those items WSCC has specifically excluded.  In the same letter, Mr. Patterson assigned the WSCC staff to monitor WSCC members’ compliance with Policy 3.  The methodology for accomplishing this assignment is outlined below:</w:t>
      </w:r>
    </w:p>
    <w:p>
      <w:pPr>
        <w:pStyle w:val="Normal"/>
        <w:rPr/>
      </w:pPr>
      <w:r>
        <w:rPr/>
      </w:r>
    </w:p>
    <w:p>
      <w:pPr>
        <w:pStyle w:val="Normal"/>
        <w:rPr/>
      </w:pPr>
      <w:r>
        <w:rPr/>
        <w:t>There are at least 60 requirements in Policy 3 alone, supplemented by countless details in the appendices to Policy 3 and in the current version of the E-Tag Specification.  To monitor compliance with all these requirements will require significant infrastructure.  Several requirements of the E-Tag Specification are being monitored in conjunction with RMS Phase III, which is in the pilot stage at this time.  The following is a list of the requirements that are monitored under RMS:</w:t>
      </w:r>
    </w:p>
    <w:p>
      <w:pPr>
        <w:pStyle w:val="Normal"/>
        <w:rPr/>
      </w:pPr>
      <w:r>
        <w:rPr/>
      </w:r>
    </w:p>
    <w:p>
      <w:pPr>
        <w:pStyle w:val="Normal"/>
        <w:numPr>
          <w:ilvl w:val="0"/>
          <w:numId w:val="4"/>
        </w:numPr>
        <w:rPr/>
      </w:pPr>
      <w:r>
        <w:rPr/>
        <w:t>Tag Approval and Tag Authority entities must implement an E-Tag system and must maintain at least 99.5% availability of their E-Tag systems.</w:t>
      </w:r>
    </w:p>
    <w:p>
      <w:pPr>
        <w:pStyle w:val="Normal"/>
        <w:rPr/>
      </w:pPr>
      <w:r>
        <w:rPr/>
      </w:r>
    </w:p>
    <w:p>
      <w:pPr>
        <w:pStyle w:val="Normal"/>
        <w:numPr>
          <w:ilvl w:val="0"/>
          <w:numId w:val="4"/>
        </w:numPr>
        <w:rPr/>
      </w:pPr>
      <w:r>
        <w:rPr/>
        <w:t>All entities must provide complete and accurate data for the Master Registry.</w:t>
      </w:r>
    </w:p>
    <w:p>
      <w:pPr>
        <w:pStyle w:val="Normal"/>
        <w:rPr/>
      </w:pPr>
      <w:r>
        <w:rPr/>
      </w:r>
    </w:p>
    <w:p>
      <w:pPr>
        <w:pStyle w:val="Normal"/>
        <w:numPr>
          <w:ilvl w:val="0"/>
          <w:numId w:val="4"/>
        </w:numPr>
        <w:rPr/>
      </w:pPr>
      <w:r>
        <w:rPr/>
        <w:t>LCAs must not set a composite status to IMPLEMENT for a transaction that has been denied by a Tag Approval Entity.</w:t>
      </w:r>
    </w:p>
    <w:p>
      <w:pPr>
        <w:pStyle w:val="Normal"/>
        <w:rPr/>
      </w:pPr>
      <w:r>
        <w:rPr/>
      </w:r>
    </w:p>
    <w:p>
      <w:pPr>
        <w:pStyle w:val="Normal"/>
        <w:numPr>
          <w:ilvl w:val="0"/>
          <w:numId w:val="4"/>
        </w:numPr>
        <w:rPr/>
      </w:pPr>
      <w:r>
        <w:rPr/>
        <w:t xml:space="preserve">The LCA must not set a composite status to DENIED for a transaction that has been approved by all Tag Approval entities.  </w:t>
        <w:br/>
      </w:r>
    </w:p>
    <w:p>
      <w:pPr>
        <w:pStyle w:val="Normal"/>
        <w:numPr>
          <w:ilvl w:val="0"/>
          <w:numId w:val="4"/>
        </w:numPr>
        <w:rPr/>
      </w:pPr>
      <w:r>
        <w:rPr/>
        <w:t>The Tag Approval Entity (TAE) must actively process (approve or deny) at least 75% of the tags received in a month.</w:t>
      </w:r>
    </w:p>
    <w:p>
      <w:pPr>
        <w:pStyle w:val="Normal"/>
        <w:rPr/>
      </w:pPr>
      <w:r>
        <w:rPr/>
      </w:r>
    </w:p>
    <w:p>
      <w:pPr>
        <w:pStyle w:val="Normal"/>
        <w:rPr/>
      </w:pPr>
      <w:r>
        <w:rPr/>
        <w:t xml:space="preserve">Additional monitoring of Policy 3, outside the RMS program, will be accomplished by starting with Requirement 2 – i.e., </w:t>
      </w:r>
      <w:r>
        <w:rPr>
          <w:b/>
          <w:smallCaps/>
        </w:rPr>
        <w:t>Interchange Transaction</w:t>
      </w:r>
      <w:r>
        <w:rPr>
          <w:b/>
        </w:rPr>
        <w:t xml:space="preserve"> tagging.</w:t>
      </w:r>
      <w:r>
        <w:rPr/>
        <w:t xml:space="preserve"> Each </w:t>
      </w:r>
      <w:r>
        <w:rPr>
          <w:smallCaps/>
        </w:rPr>
        <w:t>Interchange Transaction</w:t>
      </w:r>
      <w:r>
        <w:rPr/>
        <w:t xml:space="preserve"> shall be tagged before implementation as required by each </w:t>
      </w:r>
      <w:r>
        <w:rPr>
          <w:smallCaps/>
        </w:rPr>
        <w:t>Interconnection</w:t>
      </w:r>
      <w:r>
        <w:rPr/>
        <w:t xml:space="preserve"> as specified in the </w:t>
      </w:r>
      <w:r>
        <w:rPr>
          <w:b/>
        </w:rPr>
        <w:t>“E-tag Reference Document”…</w:t>
      </w:r>
      <w:r>
        <w:rPr/>
        <w:t xml:space="preserve">  </w:t>
      </w:r>
    </w:p>
    <w:p>
      <w:pPr>
        <w:pStyle w:val="Footer"/>
        <w:tabs>
          <w:tab w:val="clear" w:pos="4320"/>
          <w:tab w:val="clear" w:pos="8640"/>
          <w:tab w:val="left" w:pos="1440" w:leader="none"/>
        </w:tabs>
        <w:rPr/>
      </w:pPr>
      <w:r>
        <w:rPr/>
      </w:r>
    </w:p>
    <w:p>
      <w:pPr>
        <w:pStyle w:val="Normal"/>
        <w:rPr/>
      </w:pPr>
      <w:r>
        <w:rPr>
          <w:b/>
          <w:u w:val="single"/>
        </w:rPr>
        <w:t>To monitor compliance with this requirement, control areas are requested to complete the attached spreadsheets for the following survey hours and return the completed spreadsheets to policy3@wscc.com on or before the indicated due dates.</w:t>
      </w:r>
      <w:r>
        <w:rPr/>
        <w:t xml:space="preserve">  </w:t>
      </w:r>
    </w:p>
    <w:p>
      <w:pPr>
        <w:pStyle w:val="Normal"/>
        <w:rPr/>
      </w:pPr>
      <w:r>
        <w:rPr/>
      </w:r>
    </w:p>
    <w:p>
      <w:pPr>
        <w:pStyle w:val="Normal"/>
        <w:rPr/>
      </w:pPr>
      <w:r>
        <w:rPr/>
        <w:tab/>
      </w:r>
      <w:r>
        <w:rPr>
          <w:b/>
          <w:u w:val="single"/>
        </w:rPr>
        <w:t>SURVEY HOURS</w:t>
      </w:r>
      <w:r>
        <w:rPr/>
        <w:tab/>
        <w:tab/>
        <w:tab/>
      </w:r>
      <w:r>
        <w:rPr>
          <w:b/>
          <w:u w:val="single"/>
        </w:rPr>
        <w:t>DUE DATE</w:t>
      </w:r>
    </w:p>
    <w:p>
      <w:pPr>
        <w:pStyle w:val="Normal"/>
        <w:rPr/>
      </w:pPr>
      <w:r>
        <w:rPr/>
        <w:tab/>
      </w:r>
    </w:p>
    <w:p>
      <w:pPr>
        <w:pStyle w:val="Normal"/>
        <w:rPr/>
      </w:pPr>
      <w:r>
        <w:rPr/>
        <w:tab/>
        <w:t>08-25-01, HE 1500 MDT</w:t>
        <w:tab/>
        <w:tab/>
        <w:t>08-28-01</w:t>
      </w:r>
    </w:p>
    <w:p>
      <w:pPr>
        <w:pStyle w:val="Normal"/>
        <w:rPr/>
      </w:pPr>
      <w:r>
        <w:rPr/>
        <w:tab/>
        <w:t>08-29-01, HE 1800 MDT</w:t>
        <w:tab/>
        <w:tab/>
        <w:t>08-31-01</w:t>
      </w:r>
    </w:p>
    <w:p>
      <w:pPr>
        <w:pStyle w:val="Normal"/>
        <w:rPr/>
      </w:pPr>
      <w:r>
        <w:rPr/>
        <w:tab/>
        <w:t>09-03-01, HE 1000 MDT</w:t>
        <w:tab/>
        <w:tab/>
        <w:t>09-05-01</w:t>
      </w:r>
    </w:p>
    <w:p>
      <w:pPr>
        <w:pStyle w:val="Normal"/>
        <w:rPr/>
      </w:pPr>
      <w:r>
        <w:rPr/>
        <w:tab/>
        <w:t>09-13-01, HE 0600 MDT</w:t>
        <w:tab/>
        <w:tab/>
        <w:t>09-17-01</w:t>
      </w:r>
    </w:p>
    <w:p>
      <w:pPr>
        <w:pStyle w:val="Normal"/>
        <w:rPr/>
      </w:pPr>
      <w:r>
        <w:rPr/>
        <w:tab/>
        <w:t>09-18-01, HE 1700 MDT</w:t>
        <w:tab/>
        <w:tab/>
        <w:t>09-20-01</w:t>
      </w:r>
    </w:p>
    <w:p>
      <w:pPr>
        <w:pStyle w:val="Normal"/>
        <w:rPr/>
      </w:pPr>
      <w:r>
        <w:rPr/>
        <w:tab/>
        <w:t>09-23-01, HE 0100 MDT</w:t>
        <w:tab/>
        <w:tab/>
        <w:t>09-25-01</w:t>
      </w:r>
    </w:p>
    <w:p>
      <w:pPr>
        <w:pStyle w:val="Normal"/>
        <w:rPr/>
      </w:pPr>
      <w:r>
        <w:rPr/>
      </w:r>
    </w:p>
    <w:p>
      <w:pPr>
        <w:pStyle w:val="Normal"/>
        <w:rPr/>
      </w:pPr>
      <w:r>
        <w:rPr/>
        <w:t>Control areas are asked to provide the number of transactions implemented for the survey hours and the number of transactions that are exempt from having a tag (dynamic schedules and bilateral inadvertent exchanges only) using the attached spreadsheets.  The WSCC staff will then compare, on a control area basis, the number of tags with the number of transactions indicated by the survey.  A copy of the survey form is attached.</w:t>
        <w:br/>
        <w:br/>
        <w:t>The monitoring of adherence to Policy 3 will gradually be expanded to address other requirements and will address other entities (in addition to control areas) that have tagging responsibilities.  An example would be to evaluate that appropriate actions are being taken with respect to approving and denying tags.  In addition, our future plans are to collect the survey data described in this letter without first announcing the survey hours after September 23, 2001.</w:t>
      </w:r>
    </w:p>
    <w:p>
      <w:pPr>
        <w:pStyle w:val="Normal"/>
        <w:rPr/>
      </w:pPr>
      <w:r>
        <w:rPr/>
      </w:r>
    </w:p>
    <w:p>
      <w:pPr>
        <w:pStyle w:val="Normal"/>
        <w:rPr/>
      </w:pPr>
      <w:r>
        <w:rPr/>
        <w:t>We will be making periodic reports to the membership regarding the survey results to indicate how well the tagging requirements of NERC Policy 3 are being met and we will include the status of incomplete or missing survey data in these reports.</w:t>
      </w:r>
    </w:p>
    <w:p>
      <w:pPr>
        <w:pStyle w:val="Normal"/>
        <w:rPr/>
      </w:pPr>
      <w:r>
        <w:rPr/>
      </w:r>
    </w:p>
    <w:p>
      <w:pPr>
        <w:pStyle w:val="Normal"/>
        <w:rPr/>
      </w:pPr>
      <w:r>
        <w:rPr/>
        <w:t>Your cooperation in returning the data for each survey hour indicated above on or before the indicated due date will be greatly appreciated.  Please contact Bill Comish or me if you have questions regarding this survey.</w:t>
      </w:r>
    </w:p>
    <w:p>
      <w:pPr>
        <w:pStyle w:val="Normal"/>
        <w:rPr/>
      </w:pPr>
      <w:r>
        <w:rPr/>
      </w:r>
    </w:p>
    <w:p>
      <w:pPr>
        <w:pStyle w:val="BodyText"/>
        <w:tabs>
          <w:tab w:val="left" w:pos="720" w:leader="none"/>
        </w:tabs>
        <w:autoSpaceDE w:val="true"/>
        <w:rPr/>
      </w:pPr>
      <w:r>
        <w:rPr/>
        <w:t>Robert L. Dintelman</w:t>
      </w:r>
      <w:r>
        <w:br w:type="page"/>
      </w:r>
    </w:p>
    <w:p>
      <w:pPr>
        <w:pStyle w:val="BodyText"/>
        <w:tabs>
          <w:tab w:val="left" w:pos="720" w:leader="none"/>
        </w:tabs>
        <w:autoSpaceDE w:val="true"/>
        <w:rPr>
          <w:rFonts w:ascii="Arial" w:hAnsi="Arial" w:cs="Arial"/>
        </w:rPr>
      </w:pPr>
      <w:r>
        <w:rPr>
          <w:rFonts w:cs="Arial" w:ascii="Arial" w:hAnsi="Arial"/>
        </w:rPr>
      </w:r>
    </w:p>
    <w:p>
      <w:pPr>
        <w:pStyle w:val="Normal"/>
        <w:rPr>
          <w:rFonts w:ascii="Arial" w:hAnsi="Arial" w:cs="Arial"/>
          <w:sz w:val="24"/>
        </w:rPr>
      </w:pPr>
      <w:r>
        <w:rPr>
          <w:rFonts w:cs="Arial" w:ascii="Arial" w:hAnsi="Arial"/>
          <w:sz w:val="24"/>
        </w:rPr>
      </w:r>
    </w:p>
    <w:p>
      <w:pPr>
        <w:pStyle w:val="Normal"/>
        <w:rPr/>
      </w:pPr>
      <w:r>
        <w:rPr>
          <w:rFonts w:cs="Arial" w:ascii="Arial" w:hAnsi="Arial"/>
          <w:b/>
          <w:bCs/>
          <w:sz w:val="24"/>
        </w:rPr>
        <w:t>Reviewed and addressed the public comments</w:t>
      </w:r>
      <w:r>
        <w:rPr>
          <w:rFonts w:cs="Arial" w:ascii="Arial" w:hAnsi="Arial"/>
          <w:sz w:val="24"/>
        </w:rPr>
        <w:t xml:space="preserve"> on the Appendix 3A3, “Electronic Tagging Service Performance and Failure Procedures</w:t>
      </w:r>
      <w:r>
        <w:rPr>
          <w:rFonts w:cs="Arial" w:ascii="Arial" w:hAnsi="Arial"/>
          <w:b/>
          <w:bCs/>
          <w:sz w:val="24"/>
        </w:rPr>
        <w:t>”</w:t>
      </w:r>
    </w:p>
    <w:p>
      <w:pPr>
        <w:pStyle w:val="Normal"/>
        <w:numPr>
          <w:ilvl w:val="0"/>
          <w:numId w:val="2"/>
        </w:numPr>
        <w:rPr>
          <w:rFonts w:ascii="Arial" w:hAnsi="Arial" w:cs="Arial"/>
          <w:sz w:val="24"/>
        </w:rPr>
      </w:pPr>
      <w:r>
        <w:rPr>
          <w:rFonts w:cs="Arial" w:ascii="Arial" w:hAnsi="Arial"/>
          <w:b/>
          <w:bCs/>
          <w:sz w:val="24"/>
        </w:rPr>
        <w:t xml:space="preserve">The NERC IS will ask the NERC OC to approve the Appendix 3A3.  </w:t>
      </w:r>
      <w:r>
        <w:rPr>
          <w:rFonts w:cs="Arial" w:ascii="Arial" w:hAnsi="Arial"/>
          <w:sz w:val="24"/>
        </w:rPr>
        <w:t>The Appendix 3A3 will be posted to the OC agenda for the November meeting.  The template will be developed, as quick as possible and Gordon Scott will check with Dave Hilt on posting the templates for public comments.</w:t>
      </w:r>
    </w:p>
    <w:p>
      <w:pPr>
        <w:pStyle w:val="Normal"/>
        <w:ind w:start="360" w:end="0"/>
        <w:rPr>
          <w:rFonts w:ascii="Arial" w:hAnsi="Arial" w:cs="Arial"/>
          <w:sz w:val="24"/>
        </w:rPr>
      </w:pPr>
      <w:r>
        <w:rPr>
          <w:rFonts w:cs="Arial" w:ascii="Arial" w:hAnsi="Arial"/>
          <w:sz w:val="24"/>
        </w:rPr>
      </w:r>
    </w:p>
    <w:p>
      <w:pPr>
        <w:pStyle w:val="Heading2"/>
        <w:ind w:hanging="0" w:start="0"/>
        <w:rPr>
          <w:b/>
          <w:bCs/>
        </w:rPr>
      </w:pPr>
      <w:r>
        <w:rPr>
          <w:b/>
          <w:bCs/>
        </w:rPr>
        <w:t>E-Tag Version 1.7 and the implementation Timetable Discussion:</w:t>
      </w:r>
    </w:p>
    <w:p>
      <w:pPr>
        <w:pStyle w:val="Normal"/>
        <w:rPr>
          <w:b/>
          <w:bCs/>
        </w:rPr>
      </w:pPr>
      <w:r>
        <w:rPr>
          <w:b/>
          <w:bCs/>
        </w:rPr>
      </w:r>
    </w:p>
    <w:p>
      <w:pPr>
        <w:pStyle w:val="Normal"/>
        <w:numPr>
          <w:ilvl w:val="0"/>
          <w:numId w:val="8"/>
        </w:numPr>
        <w:rPr>
          <w:rFonts w:ascii="Arial" w:hAnsi="Arial" w:cs="Arial"/>
          <w:sz w:val="24"/>
        </w:rPr>
      </w:pPr>
      <w:r>
        <w:rPr>
          <w:rFonts w:cs="Arial" w:ascii="Arial" w:hAnsi="Arial"/>
          <w:b/>
          <w:bCs/>
          <w:sz w:val="24"/>
        </w:rPr>
        <w:t>The primary reason for delaying the implementation of E-Tag 1.7</w:t>
      </w:r>
      <w:r>
        <w:rPr>
          <w:rFonts w:cs="Arial" w:ascii="Arial" w:hAnsi="Arial"/>
          <w:sz w:val="24"/>
        </w:rPr>
        <w:t xml:space="preserve"> is the </w:t>
      </w:r>
      <w:r>
        <w:rPr>
          <w:rFonts w:cs="Arial" w:ascii="Arial" w:hAnsi="Arial"/>
          <w:b/>
          <w:bCs/>
          <w:color w:val="FF0000"/>
          <w:sz w:val="24"/>
          <w:highlight w:val="yellow"/>
        </w:rPr>
        <w:t>lack of a complete Registry</w:t>
      </w:r>
      <w:r>
        <w:rPr>
          <w:rFonts w:cs="Arial" w:ascii="Arial" w:hAnsi="Arial"/>
          <w:sz w:val="24"/>
        </w:rPr>
        <w:t xml:space="preserve">.  This issue has now been raised to the most significant item that must be addressed for the NEW - November 13, 2001 implementation date. </w:t>
      </w:r>
    </w:p>
    <w:p>
      <w:pPr>
        <w:pStyle w:val="Normal"/>
        <w:numPr>
          <w:ilvl w:val="0"/>
          <w:numId w:val="8"/>
        </w:numPr>
        <w:rPr>
          <w:rFonts w:ascii="Arial" w:hAnsi="Arial" w:cs="Arial"/>
          <w:sz w:val="24"/>
        </w:rPr>
      </w:pPr>
      <w:r>
        <w:rPr>
          <w:rFonts w:cs="Arial" w:ascii="Arial" w:hAnsi="Arial"/>
          <w:sz w:val="24"/>
        </w:rPr>
        <w:t>The group talked about the Registry and where that it needs to reside and who should maintain it.  The Registry group will meet on September 5th to discuss the Registry.  One issue is how the relational database needs to work for 1.7.  The IS requests this group to discuss and report back to the IS the following issues:</w:t>
      </w:r>
    </w:p>
    <w:p>
      <w:pPr>
        <w:pStyle w:val="Normal"/>
        <w:numPr>
          <w:ilvl w:val="1"/>
          <w:numId w:val="8"/>
        </w:numPr>
        <w:rPr>
          <w:rFonts w:ascii="Arial" w:hAnsi="Arial" w:cs="Arial"/>
          <w:sz w:val="24"/>
        </w:rPr>
      </w:pPr>
      <w:r>
        <w:rPr>
          <w:rFonts w:cs="Arial" w:ascii="Arial" w:hAnsi="Arial"/>
          <w:sz w:val="24"/>
        </w:rPr>
        <w:t xml:space="preserve">Confirm the registry will be ready and not hold up the project.  </w:t>
      </w:r>
    </w:p>
    <w:p>
      <w:pPr>
        <w:pStyle w:val="Normal"/>
        <w:numPr>
          <w:ilvl w:val="1"/>
          <w:numId w:val="8"/>
        </w:numPr>
        <w:rPr>
          <w:rFonts w:ascii="Arial" w:hAnsi="Arial" w:cs="Arial"/>
          <w:sz w:val="24"/>
        </w:rPr>
      </w:pPr>
      <w:r>
        <w:rPr>
          <w:rFonts w:cs="Arial" w:ascii="Arial" w:hAnsi="Arial"/>
          <w:sz w:val="24"/>
        </w:rPr>
        <w:t>Assure that the Registry will be properly maintained and managed.</w:t>
      </w:r>
    </w:p>
    <w:p>
      <w:pPr>
        <w:pStyle w:val="Normal"/>
        <w:numPr>
          <w:ilvl w:val="1"/>
          <w:numId w:val="8"/>
        </w:numPr>
        <w:rPr>
          <w:rFonts w:ascii="Arial" w:hAnsi="Arial" w:cs="Arial"/>
          <w:sz w:val="24"/>
        </w:rPr>
      </w:pPr>
      <w:r>
        <w:rPr>
          <w:rFonts w:cs="Arial" w:ascii="Arial" w:hAnsi="Arial"/>
          <w:sz w:val="24"/>
        </w:rPr>
        <w:t>The group should address the concerns on data security.</w:t>
      </w:r>
    </w:p>
    <w:p>
      <w:pPr>
        <w:pStyle w:val="Normal"/>
        <w:numPr>
          <w:ilvl w:val="1"/>
          <w:numId w:val="8"/>
        </w:numPr>
        <w:rPr>
          <w:rFonts w:ascii="Arial" w:hAnsi="Arial" w:cs="Arial"/>
          <w:sz w:val="24"/>
        </w:rPr>
      </w:pPr>
      <w:r>
        <w:rPr>
          <w:rFonts w:cs="Arial" w:ascii="Arial" w:hAnsi="Arial"/>
          <w:sz w:val="24"/>
        </w:rPr>
        <w:t xml:space="preserve">Is there a way of implementing 1.7 without the Registry?  </w:t>
      </w:r>
    </w:p>
    <w:p>
      <w:pPr>
        <w:pStyle w:val="Normal"/>
        <w:numPr>
          <w:ilvl w:val="1"/>
          <w:numId w:val="8"/>
        </w:numPr>
        <w:rPr>
          <w:rFonts w:ascii="Arial" w:hAnsi="Arial" w:cs="Arial"/>
          <w:sz w:val="24"/>
        </w:rPr>
      </w:pPr>
      <w:r>
        <w:rPr>
          <w:rFonts w:cs="Arial" w:ascii="Arial" w:hAnsi="Arial"/>
          <w:sz w:val="24"/>
        </w:rPr>
        <w:t>List benefits of a vendor being asked to develop the Registry?  This is a long-term solution.</w:t>
      </w:r>
    </w:p>
    <w:p>
      <w:pPr>
        <w:pStyle w:val="Normal"/>
        <w:numPr>
          <w:ilvl w:val="1"/>
          <w:numId w:val="8"/>
        </w:numPr>
        <w:rPr>
          <w:rFonts w:ascii="Arial" w:hAnsi="Arial" w:cs="Arial"/>
          <w:sz w:val="24"/>
        </w:rPr>
      </w:pPr>
      <w:r>
        <w:rPr>
          <w:rFonts w:cs="Arial" w:ascii="Arial" w:hAnsi="Arial"/>
          <w:sz w:val="24"/>
        </w:rPr>
        <w:t>Make a determination and report back to the IS, after the meeting, if the November 13, 2001 can be met.</w:t>
      </w:r>
    </w:p>
    <w:p>
      <w:pPr>
        <w:pStyle w:val="Normal"/>
        <w:ind w:start="720" w:end="0"/>
        <w:rPr>
          <w:rFonts w:ascii="Arial" w:hAnsi="Arial" w:cs="Arial"/>
          <w:sz w:val="24"/>
        </w:rPr>
      </w:pPr>
      <w:r>
        <w:rPr>
          <w:rFonts w:cs="Arial" w:ascii="Arial" w:hAnsi="Arial"/>
          <w:sz w:val="24"/>
        </w:rPr>
      </w:r>
    </w:p>
    <w:p>
      <w:pPr>
        <w:pStyle w:val="Normal"/>
        <w:rPr/>
      </w:pPr>
      <w:r>
        <w:rPr>
          <w:rFonts w:cs="Arial" w:ascii="Arial" w:hAnsi="Arial"/>
          <w:b/>
          <w:bCs/>
          <w:sz w:val="24"/>
        </w:rPr>
        <w:t>Motion was made to supports the schedule developed by the OSC/ESC</w:t>
      </w:r>
      <w:r>
        <w:rPr>
          <w:rFonts w:cs="Arial" w:ascii="Arial" w:hAnsi="Arial"/>
          <w:sz w:val="24"/>
        </w:rPr>
        <w:t xml:space="preserve"> at their August meeting. </w:t>
      </w:r>
      <w:r>
        <w:rPr>
          <w:rFonts w:cs="Arial" w:ascii="Arial" w:hAnsi="Arial"/>
          <w:b/>
          <w:bCs/>
          <w:sz w:val="24"/>
          <w:u w:val="single"/>
        </w:rPr>
        <w:t>Motion Approved</w:t>
      </w:r>
      <w:r>
        <w:rPr>
          <w:rFonts w:cs="Arial" w:ascii="Arial" w:hAnsi="Arial"/>
          <w:b/>
          <w:bCs/>
          <w:sz w:val="24"/>
        </w:rPr>
        <w:t>.</w:t>
      </w:r>
      <w:r>
        <w:rPr>
          <w:rFonts w:cs="Arial" w:ascii="Arial" w:hAnsi="Arial"/>
          <w:sz w:val="24"/>
        </w:rPr>
        <w:t xml:space="preserve">  The NERC IS will continue to monitor the progress of E-Tag 1.7 and its milestones and determine any change in the implementation dates for E-Tag 1.7 as early as possible. </w:t>
      </w:r>
    </w:p>
    <w:p>
      <w:pPr>
        <w:pStyle w:val="BodyText"/>
        <w:autoSpaceDE w:val="true"/>
        <w:rPr>
          <w:rFonts w:ascii="Arial" w:hAnsi="Arial" w:cs="Arial"/>
          <w:szCs w:val="20"/>
        </w:rPr>
      </w:pPr>
      <w:r>
        <w:rPr>
          <w:rFonts w:eastAsia="Arial" w:cs="Arial" w:ascii="Arial" w:hAnsi="Arial"/>
        </w:rPr>
        <w:t xml:space="preserve"> </w:t>
      </w:r>
    </w:p>
    <w:p>
      <w:pPr>
        <w:pStyle w:val="Normal"/>
        <w:rPr/>
      </w:pPr>
      <w:r>
        <w:rPr>
          <w:rFonts w:cs="Arial" w:ascii="Arial" w:hAnsi="Arial"/>
          <w:b/>
          <w:bCs/>
          <w:sz w:val="24"/>
        </w:rPr>
        <w:t>Reviewed and addressed comments on the Public Posting −Policy 3</w:t>
      </w:r>
      <w:r>
        <w:rPr>
          <w:rFonts w:cs="Arial" w:ascii="Arial" w:hAnsi="Arial"/>
          <w:sz w:val="24"/>
        </w:rPr>
        <w:t xml:space="preserve"> and Appendixes:</w:t>
      </w:r>
    </w:p>
    <w:p>
      <w:pPr>
        <w:pStyle w:val="Normal"/>
        <w:numPr>
          <w:ilvl w:val="0"/>
          <w:numId w:val="3"/>
        </w:numPr>
        <w:rPr>
          <w:rFonts w:ascii="Arial" w:hAnsi="Arial" w:cs="Arial"/>
          <w:sz w:val="24"/>
        </w:rPr>
      </w:pPr>
      <w:r>
        <w:rPr>
          <w:rFonts w:cs="Arial" w:ascii="Arial" w:hAnsi="Arial"/>
          <w:sz w:val="24"/>
        </w:rPr>
        <w:t>The NERC IS agreed to post Version 5 to the OC for email ballot vote for concurrent implementation with E-Tag 1.7</w:t>
      </w:r>
    </w:p>
    <w:p>
      <w:pPr>
        <w:pStyle w:val="Normal"/>
        <w:rPr>
          <w:rFonts w:ascii="Arial" w:hAnsi="Arial" w:cs="Arial"/>
          <w:sz w:val="24"/>
        </w:rPr>
      </w:pPr>
      <w:r>
        <w:rPr>
          <w:rFonts w:cs="Arial" w:ascii="Arial" w:hAnsi="Arial"/>
          <w:sz w:val="24"/>
        </w:rPr>
      </w:r>
    </w:p>
    <w:p>
      <w:pPr>
        <w:pStyle w:val="Normal"/>
        <w:rPr>
          <w:rFonts w:ascii="Arial" w:hAnsi="Arial" w:cs="Arial"/>
          <w:b/>
          <w:bCs/>
          <w:sz w:val="24"/>
        </w:rPr>
      </w:pPr>
      <w:r>
        <w:rPr>
          <w:rFonts w:cs="Arial" w:ascii="Arial" w:hAnsi="Arial"/>
          <w:b/>
          <w:bCs/>
          <w:sz w:val="24"/>
        </w:rPr>
        <w:t>Next NERC IS Meetings:</w:t>
      </w:r>
    </w:p>
    <w:p>
      <w:pPr>
        <w:pStyle w:val="Normal"/>
        <w:numPr>
          <w:ilvl w:val="0"/>
          <w:numId w:val="7"/>
        </w:numPr>
        <w:rPr>
          <w:rFonts w:ascii="Arial" w:hAnsi="Arial" w:cs="Arial"/>
          <w:sz w:val="24"/>
        </w:rPr>
      </w:pPr>
      <w:r>
        <w:rPr>
          <w:rFonts w:cs="Arial" w:ascii="Arial" w:hAnsi="Arial"/>
          <w:sz w:val="24"/>
        </w:rPr>
        <w:t>New Orleans, Louisiana 10/30/01- 10/31/01</w:t>
      </w:r>
    </w:p>
    <w:p>
      <w:pPr>
        <w:pStyle w:val="Normal"/>
        <w:numPr>
          <w:ilvl w:val="0"/>
          <w:numId w:val="7"/>
        </w:numPr>
        <w:rPr>
          <w:rFonts w:ascii="Arial" w:hAnsi="Arial" w:cs="Arial"/>
          <w:sz w:val="24"/>
        </w:rPr>
      </w:pPr>
      <w:r>
        <w:rPr>
          <w:rFonts w:cs="Arial" w:ascii="Arial" w:hAnsi="Arial"/>
          <w:sz w:val="24"/>
        </w:rPr>
        <w:t>Phoenix, Arizona 12/12/01-12/14/01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Don Lacen-WSCC ISAS Liaison</w:t>
    </w:r>
  </w:p>
  <w:p>
    <w:pPr>
      <w:pStyle w:val="Header"/>
      <w:jc w:val="center"/>
      <w:rPr>
        <w:b/>
        <w:bCs/>
      </w:rPr>
    </w:pPr>
    <w:r>
      <w:rPr>
        <w:b/>
        <w:bCs/>
      </w:rPr>
      <w:t xml:space="preserve">NERC IS Meeting Report </w:t>
    </w:r>
  </w:p>
  <w:p>
    <w:pPr>
      <w:pStyle w:val="Header"/>
      <w:jc w:val="center"/>
      <w:rPr>
        <w:b/>
        <w:bCs/>
      </w:rPr>
    </w:pPr>
    <w:r>
      <w:rPr>
        <w:b/>
        <w:bCs/>
      </w:rPr>
      <w:t>08/22/01-08/24/01 Omaha, Nebraska,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4"/>
      <w:szCs w:val="28"/>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tabs>
        <w:tab w:val="clear" w:pos="720"/>
        <w:tab w:val="left" w:pos="5940" w:leader="none"/>
      </w:tabs>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b/>
      <w:i/>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4"/>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2001-09-02T17:38:00Z</dcterms:created>
  <dc:creator>Authorized  User</dc:creator>
  <dc:description/>
  <dc:language>en-CA</dc:language>
  <cp:lastModifiedBy>pnm</cp:lastModifiedBy>
  <cp:lastPrinted>2001-09-02T12:50:00Z</cp:lastPrinted>
  <dcterms:modified xsi:type="dcterms:W3CDTF">2001-09-02T17:38:00Z</dcterms:modified>
  <cp:revision>2</cp:revision>
  <dc:subject/>
  <dc:title>Interchange Subcommittee Meeting Minutes -June 27–29, 2001 were approved</dc:title>
</cp:coreProperties>
</file>