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single" w:sz="4" w:space="1" w:color="000000"/>
        </w:pBdr>
        <w:spacing w:before="0" w:after="0"/>
        <w:ind w:hanging="0" w:start="0"/>
        <w:rPr/>
      </w:pPr>
      <w:r>
        <w:rPr/>
        <w:t>NERC Control Area Certification</w:t>
      </w:r>
    </w:p>
    <w:p>
      <w:pPr>
        <w:pStyle w:val="Heading1"/>
        <w:ind w:hanging="0" w:start="0"/>
        <w:rPr/>
      </w:pPr>
      <w:r>
        <w:rPr/>
        <w:t>Compliance and Evaluation Questionnaire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0" w:after="80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622935</wp:posOffset>
                </wp:positionH>
                <wp:positionV relativeFrom="paragraph">
                  <wp:posOffset>182245</wp:posOffset>
                </wp:positionV>
                <wp:extent cx="3543300" cy="0"/>
                <wp:effectExtent l="0" t="5080" r="0" b="508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.05pt,14.35pt" to="328pt,14.35pt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rFonts w:cs="Arial" w:ascii="Arial" w:hAnsi="Arial"/>
        </w:rPr>
        <w:t>Applicant:</w:t>
      </w:r>
    </w:p>
    <w:p>
      <w:pPr>
        <w:pStyle w:val="NormalNERC"/>
        <w:spacing w:before="0" w:after="8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80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1194435</wp:posOffset>
                </wp:positionH>
                <wp:positionV relativeFrom="paragraph">
                  <wp:posOffset>200660</wp:posOffset>
                </wp:positionV>
                <wp:extent cx="2971800" cy="0"/>
                <wp:effectExtent l="0" t="5080" r="0" b="508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4.05pt,15.8pt" to="328pt,15.8pt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rFonts w:cs="Arial" w:ascii="Arial" w:hAnsi="Arial"/>
        </w:rPr>
        <w:t>Response due by:</w:t>
      </w:r>
    </w:p>
    <w:p>
      <w:pPr>
        <w:pStyle w:val="Normal"/>
        <w:widowControl w:val="false"/>
        <w:tabs>
          <w:tab w:val="clear" w:pos="720"/>
          <w:tab w:val="center" w:pos="5040" w:leader="none"/>
        </w:tabs>
        <w:jc w:val="both"/>
        <w:rPr>
          <w:sz w:val="24"/>
        </w:rPr>
      </w:pPr>
      <w:r>
        <w:rPr>
          <w:sz w:val="24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38"/>
        <w:gridCol w:w="2538"/>
      </w:tblGrid>
      <w:tr>
        <w:trPr>
          <w:tblHeader w:val="true"/>
        </w:trPr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Question</w:t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NERC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Response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numPr>
                <w:ilvl w:val="0"/>
                <w:numId w:val="12"/>
              </w:numPr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Does the Applicant plan to operate its generation on AGC? What units are capable on operating on AGC?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0" w:name="Check1"/>
            <w:bookmarkStart w:id="1" w:name="Check1"/>
            <w:bookmarkEnd w:id="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2" w:name="Check2"/>
            <w:bookmarkStart w:id="3" w:name="Check2"/>
            <w:bookmarkEnd w:id="3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4" w:name="Check3"/>
            <w:bookmarkStart w:id="5" w:name="Check3"/>
            <w:bookmarkEnd w:id="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numPr>
                <w:ilvl w:val="0"/>
                <w:numId w:val="12"/>
              </w:numPr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Is the Applicant contracting with others to operate generation to provide for AGC? Are the contracts in place? How is information and data required for AGC provided to the contractor?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6" w:name="Check4"/>
            <w:bookmarkStart w:id="7" w:name="Check4"/>
            <w:bookmarkEnd w:id="7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8" w:name="Check5"/>
            <w:bookmarkStart w:id="9" w:name="Check5"/>
            <w:bookmarkEnd w:id="9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0" w:name="Check6"/>
            <w:bookmarkStart w:id="11" w:name="Check6"/>
            <w:bookmarkEnd w:id="1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numPr>
                <w:ilvl w:val="0"/>
                <w:numId w:val="12"/>
              </w:numPr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Explain how the applicant’s control system properly calculates total net actual interchange, total net scheduled interchange, and frequency bias to determine its Area Control Error (ACE).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2" w:name="Check8"/>
            <w:bookmarkStart w:id="13" w:name="Check8"/>
            <w:bookmarkEnd w:id="13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4" w:name="Check9"/>
            <w:bookmarkStart w:id="15" w:name="Check9"/>
            <w:bookmarkEnd w:id="1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6" w:name="Check10"/>
            <w:bookmarkStart w:id="17" w:name="Check10"/>
            <w:bookmarkEnd w:id="17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numPr>
                <w:ilvl w:val="0"/>
                <w:numId w:val="12"/>
              </w:numPr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Provide procedures the Applicant has for maintaining Operating Reserve.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8" w:name="Check12"/>
            <w:bookmarkStart w:id="19" w:name="Check12"/>
            <w:bookmarkEnd w:id="19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20" w:name="Check13"/>
            <w:bookmarkStart w:id="21" w:name="Check13"/>
            <w:bookmarkEnd w:id="2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22" w:name="Check14"/>
            <w:bookmarkStart w:id="23" w:name="Check14"/>
            <w:bookmarkEnd w:id="23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Are there any transmission limitations or local requirements affecting the units that Operating Reserves are carried on?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24" w:name="Check16"/>
            <w:bookmarkStart w:id="25" w:name="Check16"/>
            <w:bookmarkEnd w:id="2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26" w:name="Check17"/>
            <w:bookmarkStart w:id="27" w:name="Check17"/>
            <w:bookmarkEnd w:id="27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28" w:name="Check18"/>
            <w:bookmarkStart w:id="29" w:name="Check18"/>
            <w:bookmarkEnd w:id="29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Will the Applicant be in a Reserve Sharing Group? Are the necessary telemetering and agreements in place?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30" w:name="Check20"/>
            <w:bookmarkStart w:id="31" w:name="Check20"/>
            <w:bookmarkEnd w:id="3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32" w:name="Check21"/>
            <w:bookmarkStart w:id="33" w:name="Check21"/>
            <w:bookmarkEnd w:id="33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34" w:name="Check22"/>
            <w:bookmarkStart w:id="35" w:name="Check22"/>
            <w:bookmarkEnd w:id="35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What level of Regulating Reserve does the Applicant plan to carry for normal regulating margin to meet CPS1 and CPS2 requirements?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36" w:name="Check24"/>
            <w:bookmarkStart w:id="37" w:name="Check24"/>
            <w:bookmarkEnd w:id="37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38" w:name="Check25"/>
            <w:bookmarkStart w:id="39" w:name="Check25"/>
            <w:bookmarkEnd w:id="39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40" w:name="Check26"/>
            <w:bookmarkStart w:id="41" w:name="Check26"/>
            <w:bookmarkEnd w:id="41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What level of Contingency Reserve does the Applicant plan to carry to meet DCS1 and DCS2 requirements?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42" w:name="Check28"/>
            <w:bookmarkStart w:id="43" w:name="Check28"/>
            <w:bookmarkEnd w:id="43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44" w:name="Check29"/>
            <w:bookmarkStart w:id="45" w:name="Check29"/>
            <w:bookmarkEnd w:id="4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46" w:name="Check30"/>
            <w:bookmarkStart w:id="47" w:name="Check30"/>
            <w:bookmarkEnd w:id="47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Does the Applicant understand the CPS 1 and CPS 2 standards, survey, and reporting requirements?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48" w:name="Check32"/>
            <w:bookmarkStart w:id="49" w:name="Check32"/>
            <w:bookmarkEnd w:id="49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50" w:name="Check33"/>
            <w:bookmarkStart w:id="51" w:name="Check33"/>
            <w:bookmarkEnd w:id="5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52" w:name="Check34"/>
            <w:bookmarkStart w:id="53" w:name="Check34"/>
            <w:bookmarkEnd w:id="53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Does the Applicant understand the DCS1 and DCS2 standards, survey, and reporting requirements?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54" w:name="Check36"/>
            <w:bookmarkStart w:id="55" w:name="Check36"/>
            <w:bookmarkEnd w:id="5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56" w:name="Check37"/>
            <w:bookmarkStart w:id="57" w:name="Check37"/>
            <w:bookmarkEnd w:id="57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58" w:name="Check38"/>
            <w:bookmarkStart w:id="59" w:name="Check38"/>
            <w:bookmarkEnd w:id="59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Does  the Applicant’s  EMS/SCADA system provide the information needed for CPS compliance?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60" w:name="Check40"/>
            <w:bookmarkStart w:id="61" w:name="Check40"/>
            <w:bookmarkEnd w:id="6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62" w:name="Check41"/>
            <w:bookmarkStart w:id="63" w:name="Check41"/>
            <w:bookmarkEnd w:id="63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64" w:name="Check42"/>
            <w:bookmarkStart w:id="65" w:name="Check42"/>
            <w:bookmarkEnd w:id="65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Does the Applicant’s  EMS/SCADA system provide the information needed for DCS compliance?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66" w:name="Check44"/>
            <w:bookmarkStart w:id="67" w:name="Check44"/>
            <w:bookmarkEnd w:id="67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68" w:name="Check45"/>
            <w:bookmarkStart w:id="69" w:name="Check45"/>
            <w:bookmarkEnd w:id="69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70" w:name="Check46"/>
            <w:bookmarkStart w:id="71" w:name="Check46"/>
            <w:bookmarkEnd w:id="71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Has the Applicant determined its initial frequency bias setting?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72" w:name="Check48"/>
            <w:bookmarkStart w:id="73" w:name="Check48"/>
            <w:bookmarkEnd w:id="73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74" w:name="Check49"/>
            <w:bookmarkStart w:id="75" w:name="Check49"/>
            <w:bookmarkEnd w:id="7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76" w:name="Check50"/>
            <w:bookmarkStart w:id="77" w:name="Check50"/>
            <w:bookmarkEnd w:id="77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Has the Applicant established a procecedure to receive time error notification? From which Regional Monitor?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78" w:name="Check52"/>
            <w:bookmarkStart w:id="79" w:name="Check52"/>
            <w:bookmarkEnd w:id="79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80" w:name="Check53"/>
            <w:bookmarkStart w:id="81" w:name="Check53"/>
            <w:bookmarkEnd w:id="8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82" w:name="Check54"/>
            <w:bookmarkStart w:id="83" w:name="Check54"/>
            <w:bookmarkEnd w:id="83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Are systems and procedures in place to properly calculate and record inadvertent? (Provide details) Are procedures in place for the operators to pay back Inadvertent Interchange according to NERC policy?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84" w:name="Check56"/>
            <w:bookmarkStart w:id="85" w:name="Check56"/>
            <w:bookmarkEnd w:id="8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86" w:name="Check57"/>
            <w:bookmarkStart w:id="87" w:name="Check57"/>
            <w:bookmarkEnd w:id="87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88" w:name="Check58"/>
            <w:bookmarkStart w:id="89" w:name="Check58"/>
            <w:bookmarkEnd w:id="89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Is metering on all tie lines with adjacent Control Areas common to both the Applicant and the Adjacent Control Area and telemetered back to each system’s EMS/SCADA 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90" w:name="Check60"/>
            <w:bookmarkStart w:id="91" w:name="Check60"/>
            <w:bookmarkEnd w:id="9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92" w:name="Check61"/>
            <w:bookmarkStart w:id="93" w:name="Check61"/>
            <w:bookmarkEnd w:id="93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94" w:name="Check62"/>
            <w:bookmarkStart w:id="95" w:name="Check62"/>
            <w:bookmarkEnd w:id="95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Has the applicant established transmission contingency operating procedures regarding the prevention of transmission instability, uncontrolled separation, and cascading outages? Have the System Operators been trained in these procedures?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96" w:name="Check64"/>
            <w:bookmarkStart w:id="97" w:name="Check64"/>
            <w:bookmarkEnd w:id="97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98" w:name="Check65"/>
            <w:bookmarkStart w:id="99" w:name="Check65"/>
            <w:bookmarkEnd w:id="99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00" w:name="Check66"/>
            <w:bookmarkStart w:id="101" w:name="Check66"/>
            <w:bookmarkEnd w:id="101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Has the Applicant established procedures with adjacent Control Areas and its Security Coordinator for maintaining transmission flows within its Operating Security Limits?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02" w:name="Check68"/>
            <w:bookmarkStart w:id="103" w:name="Check68"/>
            <w:bookmarkEnd w:id="103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04" w:name="Check69"/>
            <w:bookmarkStart w:id="105" w:name="Check69"/>
            <w:bookmarkEnd w:id="10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06" w:name="Check70"/>
            <w:bookmarkStart w:id="107" w:name="Check70"/>
            <w:bookmarkEnd w:id="107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Does the Applicant have procedures for monitoring and controlling voltage levels and MVAR flow within its boundaries and with adjacent Control Areas?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08" w:name="Check72"/>
            <w:bookmarkStart w:id="109" w:name="Check72"/>
            <w:bookmarkEnd w:id="109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10" w:name="Check73"/>
            <w:bookmarkStart w:id="111" w:name="Check73"/>
            <w:bookmarkEnd w:id="11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12" w:name="Check74"/>
            <w:bookmarkStart w:id="113" w:name="Check74"/>
            <w:bookmarkEnd w:id="113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Can the Applicant provide E-tag Authority and Tag Approval service?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14" w:name="Check76"/>
            <w:bookmarkStart w:id="115" w:name="Check76"/>
            <w:bookmarkEnd w:id="11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16" w:name="Check77"/>
            <w:bookmarkStart w:id="117" w:name="Check77"/>
            <w:bookmarkEnd w:id="117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18" w:name="Check78"/>
            <w:bookmarkStart w:id="119" w:name="Check78"/>
            <w:bookmarkEnd w:id="119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Does the Applicant have procedures and systems in place to ensure that all Interchange Schedules are confirmed with Adjacent Control Areas before implementation?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20" w:name="Check80"/>
            <w:bookmarkStart w:id="121" w:name="Check80"/>
            <w:bookmarkEnd w:id="12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22" w:name="Check81"/>
            <w:bookmarkStart w:id="123" w:name="Check81"/>
            <w:bookmarkEnd w:id="123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24" w:name="Check82"/>
            <w:bookmarkStart w:id="125" w:name="Check82"/>
            <w:bookmarkEnd w:id="125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Has the Applicant established an electronic data link to supply the required data (as listed in Appendix 4B) to its Security Coordinator?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26" w:name="Check84"/>
            <w:bookmarkStart w:id="127" w:name="Check84"/>
            <w:bookmarkEnd w:id="127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28" w:name="Check85"/>
            <w:bookmarkStart w:id="129" w:name="Check85"/>
            <w:bookmarkEnd w:id="129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30" w:name="Check86"/>
            <w:bookmarkStart w:id="131" w:name="Check86"/>
            <w:bookmarkEnd w:id="131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Haveall protection systems on major transmission lines (including tie lines) been coordinated with the interconnected systems?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32" w:name="Check88"/>
            <w:bookmarkStart w:id="133" w:name="Check88"/>
            <w:bookmarkEnd w:id="133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34" w:name="Check89"/>
            <w:bookmarkStart w:id="135" w:name="Check89"/>
            <w:bookmarkEnd w:id="13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36" w:name="Check90"/>
            <w:bookmarkStart w:id="137" w:name="Check90"/>
            <w:bookmarkEnd w:id="137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Does the Applicant have plans for automatic load shedding?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38" w:name="Check92"/>
            <w:bookmarkStart w:id="139" w:name="Check92"/>
            <w:bookmarkEnd w:id="139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40" w:name="Check93"/>
            <w:bookmarkStart w:id="141" w:name="Check93"/>
            <w:bookmarkEnd w:id="14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42" w:name="Check94"/>
            <w:bookmarkStart w:id="143" w:name="Check94"/>
            <w:bookmarkEnd w:id="143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Does the Applicant have procedures for system restoration?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44" w:name="Check96"/>
            <w:bookmarkStart w:id="145" w:name="Check96"/>
            <w:bookmarkEnd w:id="14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46" w:name="Check97"/>
            <w:bookmarkStart w:id="147" w:name="Check97"/>
            <w:bookmarkEnd w:id="147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48" w:name="Check98"/>
            <w:bookmarkStart w:id="149" w:name="Check98"/>
            <w:bookmarkEnd w:id="149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Does the Applicant have emergency operating plans and procedures?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50" w:name="Check100"/>
            <w:bookmarkStart w:id="151" w:name="Check100"/>
            <w:bookmarkEnd w:id="15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52" w:name="Check101"/>
            <w:bookmarkStart w:id="153" w:name="Check101"/>
            <w:bookmarkEnd w:id="153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54" w:name="Check102"/>
            <w:bookmarkStart w:id="155" w:name="Check102"/>
            <w:bookmarkEnd w:id="155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Does the Applicant have a plan to continue to operate in the event the Applicant’s control center becomes inoperable?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56" w:name="Check104"/>
            <w:bookmarkStart w:id="157" w:name="Check104"/>
            <w:bookmarkEnd w:id="157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58" w:name="Check105"/>
            <w:bookmarkStart w:id="159" w:name="Check105"/>
            <w:bookmarkEnd w:id="159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60" w:name="Check106"/>
            <w:bookmarkStart w:id="161" w:name="Check106"/>
            <w:bookmarkEnd w:id="161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Does the Applicant have adequate and reliable telecommunications facilities with its Security Coordinator and other systems?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62" w:name="Check108"/>
            <w:bookmarkStart w:id="163" w:name="Check108"/>
            <w:bookmarkEnd w:id="163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64" w:name="Check109"/>
            <w:bookmarkStart w:id="165" w:name="Check109"/>
            <w:bookmarkEnd w:id="16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66" w:name="Check110"/>
            <w:bookmarkStart w:id="167" w:name="Check110"/>
            <w:bookmarkEnd w:id="167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Does the Applicant have clear written description of their System Operator’s responsibilities and authorities?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68" w:name="Check112"/>
            <w:bookmarkStart w:id="169" w:name="Check112"/>
            <w:bookmarkEnd w:id="169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70" w:name="Check113"/>
            <w:bookmarkStart w:id="171" w:name="Check113"/>
            <w:bookmarkEnd w:id="17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72" w:name="Check114"/>
            <w:bookmarkStart w:id="173" w:name="Check114"/>
            <w:bookmarkEnd w:id="173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Does the Applicant have NERC certified System Operators for a 24 hours per day and 7 days per week operation?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TableText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74" w:name="Check116"/>
            <w:bookmarkStart w:id="175" w:name="Check116"/>
            <w:bookmarkEnd w:id="17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76" w:name="Check117"/>
            <w:bookmarkStart w:id="177" w:name="Check117"/>
            <w:bookmarkEnd w:id="177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78" w:name="Check118"/>
            <w:bookmarkStart w:id="179" w:name="Check118"/>
            <w:bookmarkEnd w:id="179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Does the Applicant have in place all necessary agreements needed with its Security Coordinator?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80" w:name="Check120"/>
            <w:bookmarkStart w:id="181" w:name="Check120"/>
            <w:bookmarkEnd w:id="18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82" w:name="Check121"/>
            <w:bookmarkStart w:id="183" w:name="Check121"/>
            <w:bookmarkEnd w:id="183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84" w:name="Check122"/>
            <w:bookmarkStart w:id="185" w:name="Check122"/>
            <w:bookmarkEnd w:id="185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Does the Applicant have procedures in place for switching transmission elements including coordination with its Security Coordinator?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86" w:name="Check124"/>
            <w:bookmarkStart w:id="187" w:name="Check124"/>
            <w:bookmarkEnd w:id="187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88" w:name="Check125"/>
            <w:bookmarkStart w:id="189" w:name="Check125"/>
            <w:bookmarkEnd w:id="189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90" w:name="Check126"/>
            <w:bookmarkStart w:id="191" w:name="Check126"/>
            <w:bookmarkEnd w:id="191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  <w:tr>
        <w:trPr/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hd w:fill="FFFFFF" w:val="clear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Does the Applicant have procedures in place to coordinate its scheduled generator and transmission outages with its Adjacent Control Areas and its Security Coordinator? 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Finding:</w:t>
            </w: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  <w:r>
              <w:rPr>
                <w:sz w:val="20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lang w:val="en-CA" w:eastAsia="en-CA"/>
              </w:rPr>
              <w:t>     </w:t>
            </w:r>
            <w:r/>
            <w:r>
              <w:rPr>
                <w:sz w:val="20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0"/>
                <w:lang w:val="en-CA" w:eastAsia="en-CA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92" w:name="Check128"/>
            <w:bookmarkStart w:id="193" w:name="Check128"/>
            <w:bookmarkEnd w:id="193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Yes</w:t>
            </w:r>
          </w:p>
          <w:p>
            <w:pPr>
              <w:pStyle w:val="NormalNERC"/>
              <w:tabs>
                <w:tab w:val="clear" w:pos="720"/>
                <w:tab w:val="left" w:pos="360" w:leader="none"/>
              </w:tabs>
              <w:spacing w:before="60" w:after="60"/>
              <w:ind w:hanging="360" w:start="360" w:end="0"/>
              <w:rPr/>
            </w:pPr>
            <w: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94" w:name="Check129"/>
            <w:bookmarkStart w:id="195" w:name="Check129"/>
            <w:bookmarkEnd w:id="19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No</w:t>
            </w:r>
          </w:p>
          <w:p>
            <w:pPr>
              <w:pStyle w:val="Header"/>
              <w:pBdr>
                <w:bottom w:val="nil"/>
              </w:pBdr>
              <w:tabs>
                <w:tab w:val="left" w:pos="360" w:leader="none"/>
                <w:tab w:val="center" w:pos="4320" w:leader="none"/>
                <w:tab w:val="right" w:pos="8640" w:leader="none"/>
              </w:tabs>
              <w:spacing w:before="60" w:after="60"/>
              <w:ind w:hanging="360" w:start="360" w:end="0"/>
              <w:rPr>
                <w:rFonts w:cs="Arial"/>
              </w:rPr>
            </w:pPr>
            <w: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196" w:name="Check130"/>
            <w:bookmarkStart w:id="197" w:name="Check130"/>
            <w:bookmarkEnd w:id="197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false"/>
                <w:bCs/>
              </w:rPr>
              <w:t>Needs Improvement</w:t>
            </w:r>
          </w:p>
        </w:tc>
      </w:tr>
    </w:tbl>
    <w:p>
      <w:pPr>
        <w:pStyle w:val="NormalNERC"/>
        <w:tabs>
          <w:tab w:val="clear" w:pos="720"/>
          <w:tab w:val="left" w:pos="360" w:leader="none"/>
        </w:tabs>
        <w:spacing w:before="0" w:after="240"/>
        <w:ind w:hanging="360" w:start="360" w:end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continuous"/>
      <w:pgSz w:w="12240" w:h="15840"/>
      <w:pgMar w:left="1440" w:right="1440" w:gutter="0" w:header="720" w:top="1440" w:footer="720" w:bottom="1440"/>
      <w:formProt w:val="tru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360" w:leader="none"/>
      </w:tabs>
      <w:spacing w:before="0" w:after="0"/>
      <w:rPr/>
    </w:pPr>
    <w:r>
      <w:rPr/>
      <w:t>Version 1</w:t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-</w:t>
      <w:tab/>
      <w:t>Approved by Operating Committee</w:t>
    </w:r>
  </w:p>
  <w:p>
    <w:pPr>
      <w:pStyle w:val="Footer"/>
      <w:tabs>
        <w:tab w:val="clear" w:pos="8640"/>
        <w:tab w:val="center" w:pos="4320" w:leader="none"/>
        <w:tab w:val="right" w:pos="9360" w:leader="none"/>
      </w:tabs>
      <w:spacing w:before="0" w:after="0"/>
      <w:jc w:val="end"/>
      <w:rPr/>
    </w:pPr>
    <w:r>
      <w:rPr/>
      <w:t>March 29, 2000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360" w:leader="none"/>
      </w:tabs>
      <w:spacing w:before="0" w:after="0"/>
      <w:rPr/>
    </w:pPr>
    <w:r>
      <w:rPr/>
      <w:t>Version 1</w:t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-</w:t>
      <w:tab/>
      <w:t>Approved by Operating Committee</w:t>
    </w:r>
  </w:p>
  <w:p>
    <w:pPr>
      <w:pStyle w:val="Footer"/>
      <w:tabs>
        <w:tab w:val="clear" w:pos="8640"/>
        <w:tab w:val="center" w:pos="4320" w:leader="none"/>
        <w:tab w:val="right" w:pos="9360" w:leader="none"/>
      </w:tabs>
      <w:spacing w:before="0" w:after="0"/>
      <w:jc w:val="end"/>
      <w:rPr/>
    </w:pPr>
    <w:r>
      <w:rPr/>
      <w:t>March 29, 2000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6" w:space="1" w:color="000000"/>
      </w:pBdr>
      <w:spacing w:before="0" w:after="0"/>
      <w:rPr/>
    </w:pPr>
    <w:r>
      <w:rPr/>
      <w:t>NERC Control Area Certification</w:t>
    </w:r>
  </w:p>
  <w:p>
    <w:pPr>
      <w:pStyle w:val="Header"/>
      <w:pBdr>
        <w:bottom w:val="nil"/>
      </w:pBdr>
      <w:spacing w:before="0" w:after="120"/>
      <w:rPr/>
    </w:pPr>
    <w:r>
      <w:rPr/>
      <w:t>Compliance and Evaluation Questionnaire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suppressLineNumbers/>
      <w:spacing w:before="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12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TextBox">
    <w:name w:val="Text Box"/>
    <w:basedOn w:val="DefaultParagraphFont"/>
    <w:qFormat/>
    <w:rPr>
      <w:rFonts w:ascii="Arial" w:hAnsi="Arial" w:cs="Arial"/>
      <w:b/>
      <w:sz w:val="20"/>
    </w:rPr>
  </w:style>
  <w:style w:type="character" w:styleId="BoxText">
    <w:name w:val="Box Text"/>
    <w:basedOn w:val="DefaultParagraphFont"/>
    <w:qFormat/>
    <w:rPr>
      <w:rFonts w:ascii="Arial" w:hAnsi="Arial" w:cs="Arial"/>
      <w:b/>
      <w:sz w:val="20"/>
    </w:rPr>
  </w:style>
  <w:style w:type="character" w:styleId="PersonalComposeStyle">
    <w:name w:val="Personal Compose Style"/>
    <w:basedOn w:val="DefaultParagraphFont"/>
    <w:qFormat/>
    <w:rPr>
      <w:rFonts w:ascii="Arial" w:hAnsi="Arial" w:cs="Arial"/>
      <w:color w:val="000000"/>
      <w:sz w:val="20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olicySubheading">
    <w:name w:val="Policy Subheading"/>
    <w:basedOn w:val="Heading2"/>
    <w:qFormat/>
    <w:pPr>
      <w:numPr>
        <w:ilvl w:val="0"/>
        <w:numId w:val="0"/>
      </w:numPr>
      <w:outlineLvl w:val="9"/>
    </w:pPr>
    <w:rPr>
      <w:sz w:val="26"/>
    </w:rPr>
  </w:style>
  <w:style w:type="paragraph" w:styleId="NormalNERC">
    <w:name w:val="Normal NERC"/>
    <w:basedOn w:val="Normal"/>
    <w:qFormat/>
    <w:pPr>
      <w:spacing w:before="0" w:after="240"/>
    </w:pPr>
    <w:rPr/>
  </w:style>
  <w:style w:type="paragraph" w:styleId="ArticleTitle">
    <w:name w:val="Article Title"/>
    <w:basedOn w:val="Heading1"/>
    <w:next w:val="NormalNERC"/>
    <w:qFormat/>
    <w:pPr>
      <w:numPr>
        <w:ilvl w:val="0"/>
        <w:numId w:val="0"/>
      </w:numPr>
      <w:jc w:val="center"/>
      <w:outlineLvl w:val="9"/>
    </w:pPr>
    <w:rPr/>
  </w:style>
  <w:style w:type="paragraph" w:styleId="Heading31">
    <w:name w:val="Heading3"/>
    <w:basedOn w:val="Heading3"/>
    <w:qFormat/>
    <w:pPr>
      <w:numPr>
        <w:ilvl w:val="0"/>
        <w:numId w:val="0"/>
      </w:numPr>
      <w:outlineLvl w:val="9"/>
    </w:pPr>
    <w:rPr/>
  </w:style>
  <w:style w:type="paragraph" w:styleId="Bullet">
    <w:name w:val="Bullet"/>
    <w:basedOn w:val="Normal"/>
    <w:qFormat/>
    <w:pPr>
      <w:numPr>
        <w:ilvl w:val="0"/>
        <w:numId w:val="13"/>
      </w:numPr>
      <w:spacing w:before="0" w:after="120"/>
      <w:ind w:hanging="0" w:start="1080" w:end="0"/>
    </w:pPr>
    <w:rPr>
      <w:sz w:val="20"/>
    </w:rPr>
  </w:style>
  <w:style w:type="paragraph" w:styleId="PolicyTitle">
    <w:name w:val="Policy Title"/>
    <w:basedOn w:val="Heading1"/>
    <w:next w:val="Normal"/>
    <w:qFormat/>
    <w:pPr>
      <w:numPr>
        <w:ilvl w:val="0"/>
        <w:numId w:val="0"/>
      </w:numPr>
      <w:pBdr>
        <w:bottom w:val="single" w:sz="4" w:space="1" w:color="000000"/>
      </w:pBdr>
      <w:outlineLvl w:val="9"/>
    </w:pPr>
    <w:rPr>
      <w:sz w:val="32"/>
    </w:rPr>
  </w:style>
  <w:style w:type="paragraph" w:styleId="Normal0pt">
    <w:name w:val="Normal 0pt"/>
    <w:basedOn w:val="Normal"/>
    <w:qFormat/>
    <w:pPr>
      <w:spacing w:before="0" w:after="0"/>
    </w:pPr>
    <w:rPr/>
  </w:style>
  <w:style w:type="paragraph" w:styleId="TableText">
    <w:name w:val="Table Text"/>
    <w:basedOn w:val="NormalNERC"/>
    <w:next w:val="NormalNERC"/>
    <w:qFormat/>
    <w:pPr>
      <w:spacing w:before="60" w:after="60"/>
    </w:pPr>
    <w:rPr/>
  </w:style>
  <w:style w:type="paragraph" w:styleId="BlockText">
    <w:name w:val="Block Text"/>
    <w:basedOn w:val="Normal"/>
    <w:qFormat/>
    <w:pPr>
      <w:ind w:hanging="0" w:start="144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pBdr>
        <w:top w:val="single" w:sz="4" w:space="1" w:color="000000"/>
      </w:pBd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b/>
      <w:sz w:val="20"/>
    </w:rPr>
  </w:style>
  <w:style w:type="paragraph" w:styleId="Header">
    <w:name w:val="header"/>
    <w:basedOn w:val="Normal"/>
    <w:pPr>
      <w:pBdr>
        <w:bottom w:val="single" w:sz="4" w:space="1" w:color="000000"/>
      </w:pBd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b/>
      <w:sz w:val="20"/>
    </w:rPr>
  </w:style>
  <w:style w:type="paragraph" w:styleId="BodyText2">
    <w:name w:val="Body Text 2"/>
    <w:basedOn w:val="Normal"/>
    <w:qFormat/>
    <w:pPr>
      <w:spacing w:lineRule="auto" w:line="480"/>
    </w:pPr>
    <w:rPr/>
  </w:style>
  <w:style w:type="paragraph" w:styleId="BodyText3">
    <w:name w:val="Body Text 3"/>
    <w:basedOn w:val="Normal"/>
    <w:qFormat/>
    <w:pPr/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 w:start="0" w:end="0"/>
    </w:pPr>
    <w:rPr/>
  </w:style>
  <w:style w:type="paragraph" w:styleId="BodyTextIndent">
    <w:name w:val="Body Text Indent"/>
    <w:basedOn w:val="Normal"/>
    <w:pPr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/>
      <w:ind w:hanging="0" w:start="360" w:end="0"/>
    </w:pPr>
    <w:rPr/>
  </w:style>
  <w:style w:type="paragraph" w:styleId="BodyTextIndent3">
    <w:name w:val="Body Text Indent 3"/>
    <w:basedOn w:val="Normal"/>
    <w:qFormat/>
    <w:pPr>
      <w:ind w:hanging="0" w:start="360" w:end="0"/>
    </w:pPr>
    <w:rPr>
      <w:sz w:val="16"/>
      <w:szCs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>
      <w:sz w:val="20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cs="Arial"/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pPr>
      <w:ind w:hanging="220" w:start="220" w:end="0"/>
    </w:pPr>
    <w:rPr/>
  </w:style>
  <w:style w:type="paragraph" w:styleId="Index2">
    <w:name w:val="index 2"/>
    <w:basedOn w:val="Normal"/>
    <w:next w:val="Normal"/>
    <w:pPr>
      <w:ind w:hanging="220" w:start="440" w:end="0"/>
    </w:pPr>
    <w:rPr/>
  </w:style>
  <w:style w:type="paragraph" w:styleId="Index3">
    <w:name w:val="index 3"/>
    <w:basedOn w:val="Normal"/>
    <w:next w:val="Normal"/>
    <w:pPr>
      <w:ind w:hanging="220" w:start="660" w:end="0"/>
    </w:pPr>
    <w:rPr/>
  </w:style>
  <w:style w:type="paragraph" w:styleId="Index4">
    <w:name w:val="Index 4"/>
    <w:basedOn w:val="Normal"/>
    <w:next w:val="Normal"/>
    <w:qFormat/>
    <w:pPr>
      <w:ind w:hanging="220" w:start="880" w:end="0"/>
    </w:pPr>
    <w:rPr/>
  </w:style>
  <w:style w:type="paragraph" w:styleId="Index5">
    <w:name w:val="Index 5"/>
    <w:basedOn w:val="Normal"/>
    <w:next w:val="Normal"/>
    <w:qFormat/>
    <w:pPr>
      <w:ind w:hanging="220" w:start="1100" w:end="0"/>
    </w:pPr>
    <w:rPr/>
  </w:style>
  <w:style w:type="paragraph" w:styleId="Index6">
    <w:name w:val="Index 6"/>
    <w:basedOn w:val="Normal"/>
    <w:next w:val="Normal"/>
    <w:qFormat/>
    <w:pPr>
      <w:ind w:hanging="220" w:start="1320" w:end="0"/>
    </w:pPr>
    <w:rPr/>
  </w:style>
  <w:style w:type="paragraph" w:styleId="Index7">
    <w:name w:val="Index 7"/>
    <w:basedOn w:val="Normal"/>
    <w:next w:val="Normal"/>
    <w:qFormat/>
    <w:pPr>
      <w:ind w:hanging="220" w:start="1540" w:end="0"/>
    </w:pPr>
    <w:rPr/>
  </w:style>
  <w:style w:type="paragraph" w:styleId="Index8">
    <w:name w:val="Index 8"/>
    <w:basedOn w:val="Normal"/>
    <w:next w:val="Normal"/>
    <w:qFormat/>
    <w:pPr>
      <w:ind w:hanging="220" w:start="1760" w:end="0"/>
    </w:pPr>
    <w:rPr/>
  </w:style>
  <w:style w:type="paragraph" w:styleId="Index9">
    <w:name w:val="Index 9"/>
    <w:basedOn w:val="Normal"/>
    <w:next w:val="Normal"/>
    <w:qFormat/>
    <w:pPr>
      <w:ind w:hanging="220" w:start="198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  <w:bCs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</w:pPr>
    <w:rPr/>
  </w:style>
  <w:style w:type="paragraph" w:styleId="ListContinue">
    <w:name w:val="List Continue"/>
    <w:basedOn w:val="Normal"/>
    <w:qFormat/>
    <w:pPr>
      <w:ind w:hanging="0" w:start="360" w:end="0"/>
    </w:pPr>
    <w:rPr/>
  </w:style>
  <w:style w:type="paragraph" w:styleId="ListContinue2">
    <w:name w:val="List Continue 2"/>
    <w:basedOn w:val="Normal"/>
    <w:qFormat/>
    <w:pPr>
      <w:ind w:hanging="0" w:start="720" w:end="0"/>
    </w:pPr>
    <w:rPr/>
  </w:style>
  <w:style w:type="paragraph" w:styleId="ListContinue3">
    <w:name w:val="List Continue 3"/>
    <w:basedOn w:val="Normal"/>
    <w:qFormat/>
    <w:pPr>
      <w:ind w:hanging="0" w:start="1080" w:end="0"/>
    </w:pPr>
    <w:rPr/>
  </w:style>
  <w:style w:type="paragraph" w:styleId="ListContinue4">
    <w:name w:val="List Continue 4"/>
    <w:basedOn w:val="Normal"/>
    <w:qFormat/>
    <w:pPr>
      <w:ind w:hanging="0" w:start="1440" w:end="0"/>
    </w:pPr>
    <w:rPr/>
  </w:style>
  <w:style w:type="paragraph" w:styleId="ListContinue5">
    <w:name w:val="List Continue 5"/>
    <w:basedOn w:val="Normal"/>
    <w:qFormat/>
    <w:pPr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12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qFormat/>
    <w:pPr>
      <w:ind w:hanging="220" w:start="220" w:end="0"/>
    </w:pPr>
    <w:rPr/>
  </w:style>
  <w:style w:type="paragraph" w:styleId="TableofFigures">
    <w:name w:val="Table of Figures"/>
    <w:basedOn w:val="Normal"/>
    <w:next w:val="Normal"/>
    <w:qFormat/>
    <w:pPr>
      <w:ind w:hanging="440" w:start="440" w:end="0"/>
    </w:pPr>
    <w:rPr/>
  </w:style>
  <w:style w:type="paragraph" w:styleId="TOAHeading">
    <w:name w:val="TOA Heading"/>
    <w:basedOn w:val="Normal"/>
    <w:next w:val="Normal"/>
    <w:qFormat/>
    <w:pPr>
      <w:spacing w:before="120" w:after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20" w:end="0"/>
    </w:pPr>
    <w:rPr/>
  </w:style>
  <w:style w:type="paragraph" w:styleId="TOC3">
    <w:name w:val="toc 3"/>
    <w:basedOn w:val="Normal"/>
    <w:next w:val="Normal"/>
    <w:pPr>
      <w:ind w:hanging="0" w:start="440" w:end="0"/>
    </w:pPr>
    <w:rPr/>
  </w:style>
  <w:style w:type="paragraph" w:styleId="TOC4">
    <w:name w:val="toc 4"/>
    <w:basedOn w:val="Normal"/>
    <w:next w:val="Normal"/>
    <w:pPr>
      <w:ind w:hanging="0" w:start="660" w:end="0"/>
    </w:pPr>
    <w:rPr/>
  </w:style>
  <w:style w:type="paragraph" w:styleId="TOC5">
    <w:name w:val="toc 5"/>
    <w:basedOn w:val="Normal"/>
    <w:next w:val="Normal"/>
    <w:pPr>
      <w:ind w:hanging="0" w:start="880" w:end="0"/>
    </w:pPr>
    <w:rPr/>
  </w:style>
  <w:style w:type="paragraph" w:styleId="TOC6">
    <w:name w:val="toc 6"/>
    <w:basedOn w:val="Normal"/>
    <w:next w:val="Normal"/>
    <w:pPr>
      <w:ind w:hanging="0" w:start="1100" w:end="0"/>
    </w:pPr>
    <w:rPr/>
  </w:style>
  <w:style w:type="paragraph" w:styleId="TOC7">
    <w:name w:val="toc 7"/>
    <w:basedOn w:val="Normal"/>
    <w:next w:val="Normal"/>
    <w:pPr>
      <w:ind w:hanging="0" w:start="1320" w:end="0"/>
    </w:pPr>
    <w:rPr/>
  </w:style>
  <w:style w:type="paragraph" w:styleId="TOC8">
    <w:name w:val="toc 8"/>
    <w:basedOn w:val="Normal"/>
    <w:next w:val="Normal"/>
    <w:pPr>
      <w:ind w:hanging="0" w:start="1540" w:end="0"/>
    </w:pPr>
    <w:rPr/>
  </w:style>
  <w:style w:type="paragraph" w:styleId="TOC9">
    <w:name w:val="toc 9"/>
    <w:basedOn w:val="Normal"/>
    <w:next w:val="Normal"/>
    <w:pPr>
      <w:ind w:hanging="0" w:start="176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2000-03-09T20:29:00Z</dcterms:created>
  <dc:creator>Don Benjamin</dc:creator>
  <dc:description/>
  <dc:language>en-CA</dc:language>
  <cp:lastModifiedBy>Preferred Customer</cp:lastModifiedBy>
  <cp:lastPrinted>2000-04-03T15:30:00Z</cp:lastPrinted>
  <dcterms:modified xsi:type="dcterms:W3CDTF">2000-04-03T17:02:00Z</dcterms:modified>
  <cp:revision>6</cp:revision>
  <dc:subject/>
  <dc:title>Question</dc:title>
</cp:coreProperties>
</file>