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22"/>
        </w:rPr>
      </w:pPr>
      <w:r>
        <w:rPr>
          <w:rFonts w:cs="Arial" w:ascii="Arial" w:hAnsi="Arial"/>
          <w:sz w:val="22"/>
        </w:rPr>
        <w:t xml:space="preserve">Resolution on the Role of NERC in Developing Market Interface or Commercial Practice Standards </w:t>
      </w:r>
    </w:p>
    <w:p>
      <w:pPr>
        <w:pStyle w:val="Heading1"/>
        <w:ind w:hanging="0" w:start="0"/>
        <w:rPr>
          <w:rFonts w:ascii="Arial" w:hAnsi="Arial" w:cs="Arial"/>
          <w:sz w:val="22"/>
        </w:rPr>
      </w:pPr>
      <w:r>
        <w:rPr>
          <w:rFonts w:cs="Arial" w:ascii="Arial" w:hAnsi="Arial"/>
          <w:sz w:val="22"/>
        </w:rPr>
        <w:t>(Board Agenda Item 20)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WHEREAS, Reliability standards developed by NERC, relying on the expertise of industry experts, have been the basis for the reliable operation of the bulk electric systems in North America for over 30 years; and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WHEREAS, With the opening of the transmission systems, the vertical disaggregating of the former monopoly utilities, and the introduction of marketers and independent power producers, NERC has moved proactively to make its standards process more fair, open, balanced and inclusive; and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WHEREAS, To support the evolution of competitive electricity markets, the formation of large RTOs, and continued reliability and security of interconnected transmission grids, it is vitally important to standardize and make mandatory both reliability standards and wholesale electric business practice standards; and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WHEREAS, NERC has taken a number of proactive steps to deal with the linkages between reliability standards and wholesale electric business practice standards, including spearheading the OASIS “What” and “How” working groups that developed the Standards and Communications Protocols followed by all transmission providers; formed a Market Interface Committee as a new standing committee of NERC to address the impact of reliability standards on markets and the impact of market practices on reliability; and initiated the formation of and facilitates the Electronic Scheduling Collaborative (ESC), which recently filed with FERC a report on their efforts to develop common business practice standards for electronic scheduling (OASIS Phase 2); and </w:t>
      </w:r>
    </w:p>
    <w:p>
      <w:pPr>
        <w:pStyle w:val="Normal"/>
        <w:rPr>
          <w:rFonts w:ascii="Arial" w:hAnsi="Arial" w:cs="Arial"/>
          <w:sz w:val="22"/>
        </w:rPr>
      </w:pPr>
      <w:r>
        <w:rPr>
          <w:rFonts w:cs="Arial" w:ascii="Arial" w:hAnsi="Arial"/>
          <w:sz w:val="22"/>
        </w:rPr>
      </w:r>
    </w:p>
    <w:p>
      <w:pPr>
        <w:pStyle w:val="Normal"/>
        <w:ind w:start="14" w:end="0"/>
        <w:rPr>
          <w:rFonts w:ascii="Arial" w:hAnsi="Arial" w:cs="Arial"/>
          <w:sz w:val="22"/>
        </w:rPr>
      </w:pPr>
      <w:r>
        <w:rPr>
          <w:rFonts w:cs="Arial" w:ascii="Arial" w:hAnsi="Arial"/>
          <w:sz w:val="22"/>
        </w:rPr>
        <w:t xml:space="preserve">WHEREAS, the electric business practice standards being developed by the Electronic Scheduling Collaborative (ESC) are a complement to the new NERC Reliability Model on which NERC’s future Organization Standards will be based; and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WHEREAS, NERC is recognized and respected as the industry’s developer of standards for the reliable planning and operation of interconnected transmission grids throughout North America, and</w:t>
      </w:r>
    </w:p>
    <w:p>
      <w:pPr>
        <w:pStyle w:val="Normal"/>
        <w:rPr>
          <w:rFonts w:ascii="Arial" w:hAnsi="Arial" w:cs="Arial"/>
          <w:sz w:val="22"/>
        </w:rPr>
      </w:pPr>
      <w:r>
        <w:rPr>
          <w:rFonts w:cs="Arial" w:ascii="Arial" w:hAnsi="Arial"/>
          <w:sz w:val="22"/>
        </w:rPr>
      </w:r>
    </w:p>
    <w:p>
      <w:pPr>
        <w:pStyle w:val="BodyText"/>
        <w:rPr/>
      </w:pPr>
      <w:r>
        <w:rPr/>
        <w:t>WHEREAS, the Board of Trustees recognizes the urgent need for uniform wholesale electric business practice standards that are well coordinated with reliability standards; and</w:t>
      </w:r>
    </w:p>
    <w:p>
      <w:pPr>
        <w:pStyle w:val="BodyText"/>
        <w:rPr/>
      </w:pPr>
      <w:r>
        <w:rPr/>
      </w:r>
    </w:p>
    <w:p>
      <w:pPr>
        <w:pStyle w:val="BodyText"/>
        <w:rPr/>
      </w:pPr>
      <w:r>
        <w:rPr/>
        <w:t>WHEREAS, the NERC Stakeholders Committee has expressed a strong preference for a single organization to develop both reliability standards and wholesale electric business practice standards;</w:t>
      </w:r>
    </w:p>
    <w:p>
      <w:pPr>
        <w:pStyle w:val="BodyText"/>
        <w:rPr/>
      </w:pPr>
      <w:r>
        <w:rPr/>
      </w:r>
    </w:p>
    <w:p>
      <w:pPr>
        <w:pStyle w:val="BodyText"/>
        <w:rPr/>
      </w:pPr>
      <w:r>
        <w:rPr/>
        <w:t>BE IT THEREFORE RESOLVED, that NERC:</w:t>
      </w:r>
    </w:p>
    <w:p>
      <w:pPr>
        <w:pStyle w:val="Normal"/>
        <w:rPr>
          <w:rFonts w:ascii="Arial" w:hAnsi="Arial" w:cs="Arial"/>
          <w:sz w:val="22"/>
        </w:rPr>
      </w:pPr>
      <w:r>
        <w:rPr>
          <w:rFonts w:cs="Arial" w:ascii="Arial" w:hAnsi="Arial"/>
          <w:sz w:val="22"/>
        </w:rPr>
      </w:r>
    </w:p>
    <w:p>
      <w:pPr>
        <w:pStyle w:val="Normal"/>
        <w:numPr>
          <w:ilvl w:val="0"/>
          <w:numId w:val="3"/>
        </w:numPr>
        <w:ind w:hanging="720" w:start="720" w:end="0"/>
        <w:rPr>
          <w:rFonts w:ascii="Arial" w:hAnsi="Arial" w:cs="Arial"/>
          <w:bCs/>
          <w:sz w:val="22"/>
        </w:rPr>
      </w:pPr>
      <w:r>
        <w:rPr>
          <w:rFonts w:cs="Arial" w:ascii="Arial" w:hAnsi="Arial"/>
          <w:sz w:val="22"/>
        </w:rPr>
        <w:t>Take all necessary steps to become the single organization in North America to develop both reliability standards and wholesale electric business practice standards through a fair, open, balanced, and inclusive process, and to file such standards with FERC and appropriate government agencies in Canada.</w:t>
      </w:r>
    </w:p>
    <w:p>
      <w:pPr>
        <w:pStyle w:val="Normal"/>
        <w:rPr>
          <w:rFonts w:ascii="Arial" w:hAnsi="Arial" w:cs="Arial"/>
          <w:bCs/>
          <w:sz w:val="22"/>
        </w:rPr>
      </w:pPr>
      <w:r>
        <w:rPr>
          <w:rFonts w:cs="Arial" w:ascii="Arial" w:hAnsi="Arial"/>
          <w:bCs/>
          <w:sz w:val="22"/>
        </w:rPr>
      </w:r>
    </w:p>
    <w:p>
      <w:pPr>
        <w:pStyle w:val="Normal"/>
        <w:numPr>
          <w:ilvl w:val="0"/>
          <w:numId w:val="3"/>
        </w:numPr>
        <w:ind w:hanging="720" w:start="720" w:end="0"/>
        <w:rPr>
          <w:rFonts w:ascii="Arial" w:hAnsi="Arial" w:cs="Arial"/>
          <w:bCs/>
          <w:sz w:val="22"/>
        </w:rPr>
      </w:pPr>
      <w:r>
        <w:rPr>
          <w:rFonts w:cs="Arial" w:ascii="Arial" w:hAnsi="Arial"/>
          <w:bCs/>
          <w:sz w:val="22"/>
        </w:rPr>
        <w:t>Actively solicit cooperation, collaboration, and support from Canadian and U.S. government entities to establish NERC as the single organization in North America for the development of reliability standards and wholesale electric business practice standards.</w:t>
      </w:r>
    </w:p>
    <w:p>
      <w:pPr>
        <w:pStyle w:val="Normal"/>
        <w:rPr>
          <w:rFonts w:ascii="Arial" w:hAnsi="Arial" w:cs="Arial"/>
          <w:bCs/>
          <w:sz w:val="22"/>
        </w:rPr>
      </w:pPr>
      <w:r>
        <w:rPr>
          <w:rFonts w:cs="Arial" w:ascii="Arial" w:hAnsi="Arial"/>
          <w:bCs/>
          <w:sz w:val="22"/>
        </w:rPr>
      </w:r>
    </w:p>
    <w:p>
      <w:pPr>
        <w:pStyle w:val="Normal"/>
        <w:numPr>
          <w:ilvl w:val="0"/>
          <w:numId w:val="3"/>
        </w:numPr>
        <w:ind w:hanging="720" w:start="720" w:end="0"/>
        <w:rPr>
          <w:rFonts w:ascii="Arial" w:hAnsi="Arial" w:cs="Arial"/>
          <w:bCs/>
          <w:sz w:val="22"/>
        </w:rPr>
      </w:pPr>
      <w:r>
        <w:rPr>
          <w:rFonts w:cs="Arial" w:ascii="Arial" w:hAnsi="Arial"/>
          <w:bCs/>
          <w:sz w:val="22"/>
        </w:rPr>
        <w:t>Take immediate action to adopt and implement the six Initial Recommendations of the Standing Committee Representation Task Force contained in Board Agenda Item 22.</w:t>
      </w:r>
    </w:p>
    <w:p>
      <w:pPr>
        <w:pStyle w:val="Normal"/>
        <w:rPr>
          <w:rFonts w:ascii="Arial" w:hAnsi="Arial" w:cs="Arial"/>
          <w:bCs/>
          <w:sz w:val="22"/>
        </w:rPr>
      </w:pPr>
      <w:r>
        <w:rPr>
          <w:rFonts w:cs="Arial" w:ascii="Arial" w:hAnsi="Arial"/>
          <w:bCs/>
          <w:sz w:val="22"/>
        </w:rPr>
      </w:r>
    </w:p>
    <w:p>
      <w:pPr>
        <w:pStyle w:val="Normal"/>
        <w:numPr>
          <w:ilvl w:val="0"/>
          <w:numId w:val="3"/>
        </w:numPr>
        <w:ind w:hanging="720" w:start="720" w:end="0"/>
        <w:rPr>
          <w:rFonts w:ascii="Arial" w:hAnsi="Arial" w:cs="Arial"/>
          <w:bCs/>
          <w:sz w:val="22"/>
        </w:rPr>
      </w:pPr>
      <w:r>
        <w:rPr>
          <w:rFonts w:cs="Arial" w:ascii="Arial" w:hAnsi="Arial"/>
          <w:bCs/>
          <w:sz w:val="22"/>
        </w:rPr>
        <w:t>Facilitate – jointly with interested trade associations; federal, state, and provincial regulators; and other stakeholder organizations – an open and inclusive process to achieve consensus on the definitions and attributes of the functions necessary for the development of wholesale electric industry standards and practices, and on a course of action to institute such capabilities.</w:t>
      </w:r>
    </w:p>
    <w:p>
      <w:pPr>
        <w:pStyle w:val="Normal"/>
        <w:rPr>
          <w:rFonts w:ascii="Arial" w:hAnsi="Arial" w:cs="Arial"/>
          <w:bCs/>
          <w:sz w:val="22"/>
        </w:rPr>
      </w:pPr>
      <w:r>
        <w:rPr>
          <w:rFonts w:cs="Arial" w:ascii="Arial" w:hAnsi="Arial"/>
          <w:bCs/>
          <w:sz w:val="22"/>
        </w:rPr>
      </w:r>
    </w:p>
    <w:p>
      <w:pPr>
        <w:pStyle w:val="Normal"/>
        <w:numPr>
          <w:ilvl w:val="0"/>
          <w:numId w:val="3"/>
        </w:numPr>
        <w:ind w:hanging="720" w:start="720" w:end="0"/>
        <w:rPr>
          <w:rFonts w:ascii="Arial" w:hAnsi="Arial" w:cs="Arial"/>
          <w:sz w:val="22"/>
        </w:rPr>
      </w:pPr>
      <w:r>
        <w:rPr>
          <w:rFonts w:cs="Arial" w:ascii="Arial" w:hAnsi="Arial"/>
          <w:bCs/>
          <w:sz w:val="22"/>
        </w:rPr>
        <w:t>Interface with state and provincial regulators to address retail operational issues that may affect wholesale electric operations.</w:t>
      </w:r>
    </w:p>
    <w:p>
      <w:pPr>
        <w:pStyle w:val="Normal"/>
        <w:rPr>
          <w:rFonts w:ascii="Arial" w:hAnsi="Arial" w:cs="Arial"/>
          <w:bCs/>
          <w:sz w:val="22"/>
        </w:rPr>
      </w:pPr>
      <w:r>
        <w:rPr>
          <w:rFonts w:cs="Arial" w:ascii="Arial" w:hAnsi="Arial"/>
          <w:bCs/>
          <w:sz w:val="22"/>
        </w:rPr>
      </w:r>
    </w:p>
    <w:p>
      <w:pPr>
        <w:pStyle w:val="Normal"/>
        <w:numPr>
          <w:ilvl w:val="0"/>
          <w:numId w:val="3"/>
        </w:numPr>
        <w:ind w:hanging="720" w:start="720" w:end="0"/>
        <w:rPr>
          <w:rFonts w:ascii="Arial" w:hAnsi="Arial" w:cs="Arial"/>
          <w:sz w:val="22"/>
        </w:rPr>
      </w:pPr>
      <w:r>
        <w:rPr>
          <w:rFonts w:cs="Arial" w:ascii="Arial" w:hAnsi="Arial"/>
          <w:bCs/>
          <w:sz w:val="22"/>
        </w:rPr>
        <w:t>Build on the results of activities to date regarding the new Reliability Model and new Organization Standards Development Process.</w:t>
      </w:r>
    </w:p>
    <w:p>
      <w:pPr>
        <w:pStyle w:val="Normal"/>
        <w:rPr>
          <w:rFonts w:ascii="Arial" w:hAnsi="Arial" w:cs="Arial"/>
          <w:sz w:val="22"/>
        </w:rPr>
      </w:pPr>
      <w:r>
        <w:rPr>
          <w:rFonts w:cs="Arial" w:ascii="Arial" w:hAnsi="Arial"/>
          <w:sz w:val="22"/>
        </w:rPr>
      </w:r>
    </w:p>
    <w:p>
      <w:pPr>
        <w:pStyle w:val="Normal"/>
        <w:numPr>
          <w:ilvl w:val="0"/>
          <w:numId w:val="3"/>
        </w:numPr>
        <w:ind w:hanging="720" w:start="720" w:end="0"/>
        <w:rPr>
          <w:rFonts w:ascii="Arial" w:hAnsi="Arial" w:cs="Arial"/>
          <w:sz w:val="22"/>
        </w:rPr>
      </w:pPr>
      <w:r>
        <w:rPr>
          <w:rFonts w:cs="Arial" w:ascii="Arial" w:hAnsi="Arial"/>
          <w:bCs/>
          <w:sz w:val="22"/>
        </w:rPr>
        <w:t>R</w:t>
      </w:r>
      <w:r>
        <w:rPr>
          <w:rFonts w:cs="Arial" w:ascii="Arial" w:hAnsi="Arial"/>
          <w:sz w:val="22"/>
        </w:rPr>
        <w:t>ecommend that FERC use the ESC report, which has already been submitted to FERC, as the basis for a notice of proposed rulemaking on electric business practice standards.</w:t>
      </w:r>
    </w:p>
    <w:p>
      <w:pPr>
        <w:pStyle w:val="Normal"/>
        <w:rPr>
          <w:rFonts w:ascii="Arial" w:hAnsi="Arial" w:cs="Arial"/>
          <w:sz w:val="22"/>
        </w:rPr>
      </w:pPr>
      <w:r>
        <w:rPr>
          <w:rFonts w:cs="Arial" w:ascii="Arial" w:hAnsi="Arial"/>
          <w:sz w:val="22"/>
        </w:rPr>
      </w:r>
    </w:p>
    <w:p>
      <w:pPr>
        <w:pStyle w:val="Normal"/>
        <w:numPr>
          <w:ilvl w:val="0"/>
          <w:numId w:val="3"/>
        </w:numPr>
        <w:ind w:hanging="720" w:start="720" w:end="0"/>
        <w:rPr>
          <w:rFonts w:ascii="Arial" w:hAnsi="Arial" w:cs="Arial"/>
          <w:sz w:val="22"/>
        </w:rPr>
      </w:pPr>
      <w:r>
        <w:rPr>
          <w:rFonts w:cs="Arial" w:ascii="Arial" w:hAnsi="Arial"/>
          <w:sz w:val="22"/>
        </w:rPr>
        <w:t>Urge FERC to make use of the ESC, which will use the new sector weighted voting model approved by the NERC Board, for further development of wholesale electric business practice standards, including standards necessary for certain aspects of RTO design such as congestion management and ancillary services.</w:t>
      </w:r>
    </w:p>
    <w:p>
      <w:pPr>
        <w:pStyle w:val="Normal"/>
        <w:rPr>
          <w:rFonts w:ascii="Arial" w:hAnsi="Arial" w:cs="Arial"/>
          <w:sz w:val="22"/>
        </w:rPr>
      </w:pPr>
      <w:r>
        <w:rPr>
          <w:rFonts w:cs="Arial" w:ascii="Arial" w:hAnsi="Arial"/>
          <w:sz w:val="22"/>
        </w:rPr>
      </w:r>
    </w:p>
    <w:p>
      <w:pPr>
        <w:pStyle w:val="Normal"/>
        <w:numPr>
          <w:ilvl w:val="0"/>
          <w:numId w:val="3"/>
        </w:numPr>
        <w:ind w:hanging="720" w:start="720" w:end="0"/>
        <w:rPr>
          <w:rFonts w:ascii="Arial" w:hAnsi="Arial" w:cs="Arial"/>
          <w:sz w:val="22"/>
        </w:rPr>
      </w:pPr>
      <w:r>
        <w:rPr>
          <w:rFonts w:cs="Arial" w:ascii="Arial" w:hAnsi="Arial"/>
          <w:sz w:val="22"/>
        </w:rPr>
        <w:t>Commit to continuing to support the work of the ESC until such time as an industry consensus is achieved on how to develop wholesale electric business practice standards within the NERC framework.</w:t>
      </w:r>
    </w:p>
    <w:p>
      <w:pPr>
        <w:pStyle w:val="Normal"/>
        <w:rPr>
          <w:rFonts w:ascii="Arial" w:hAnsi="Arial" w:cs="Arial"/>
          <w:sz w:val="22"/>
        </w:rPr>
      </w:pPr>
      <w:r>
        <w:rPr>
          <w:rFonts w:cs="Arial" w:ascii="Arial" w:hAnsi="Arial"/>
          <w:sz w:val="22"/>
        </w:rPr>
      </w:r>
      <w:r>
        <w:br w:type="page"/>
      </w:r>
    </w:p>
    <w:p>
      <w:pPr>
        <w:pStyle w:val="BodyText"/>
        <w:rPr>
          <w:b/>
          <w:bCs/>
        </w:rPr>
      </w:pPr>
      <w:r>
        <w:rPr>
          <w:b/>
          <w:bCs/>
        </w:rPr>
        <w:t>Board Policy Statement and Resolution Regarding the Independence of Security Coordinators</w:t>
      </w:r>
    </w:p>
    <w:p>
      <w:pPr>
        <w:pStyle w:val="BodyText"/>
        <w:rPr>
          <w:b/>
          <w:bCs/>
        </w:rPr>
      </w:pPr>
      <w:r>
        <w:rPr>
          <w:b/>
          <w:bCs/>
        </w:rPr>
        <w:t>(Board Agenda Item 21)</w:t>
      </w:r>
    </w:p>
    <w:p>
      <w:pPr>
        <w:pStyle w:val="BodyText"/>
        <w:rPr>
          <w:b/>
          <w:bCs/>
        </w:rPr>
      </w:pPr>
      <w:r>
        <w:rPr>
          <w:b/>
          <w:bCs/>
        </w:rPr>
      </w:r>
    </w:p>
    <w:p>
      <w:pPr>
        <w:pStyle w:val="Heading1"/>
        <w:ind w:hanging="0" w:start="0"/>
        <w:rPr>
          <w:rFonts w:ascii="Arial" w:hAnsi="Arial" w:cs="Arial"/>
          <w:sz w:val="22"/>
        </w:rPr>
      </w:pPr>
      <w:r>
        <w:rPr>
          <w:rFonts w:cs="Arial" w:ascii="Arial" w:hAnsi="Arial"/>
          <w:sz w:val="22"/>
        </w:rPr>
        <w:t>Introduction</w:t>
      </w:r>
    </w:p>
    <w:p>
      <w:pPr>
        <w:pStyle w:val="Normal"/>
        <w:jc w:val="center"/>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t>The NERC Board of Trustees is deeply indebted to the 21 organizations that have accepted the responsibility of being Security Coordinators and commend them for their outstanding contributions.  The Board expects Security Coordinators to have the big picture, the ability to assess the moment-to-moment reliability of the grid, take actions necessary to maintain reliability in the best interests of the Interconnection, and to be responsible for coordination during emergencies.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Security Coordinators serve a central role in maintaining the reliability of the bulk electric system.  It is critical that all who participate in the electricity marketplace have complete confidence in the Security Coordinators, so that instructions coming from Security Coordinators are accepted and implemented without question.  To achieve that confidence, Security Coordinators must avoid even the appearance of bias in their operations.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In Order 2000 FERC stated that RTOs must be independent from market participants and that RTOs must perform the security coordination function.  In the rehearing of that order, FERC indicated that independent auditing alone is not a substitute for the independence requirement.  FERC found further that it is difficult to monitor compliance with codes of conduct.  Therefore, in building new regional transmission organizations, FERC determined that independence is best assured by corporate separation.</w:t>
      </w:r>
    </w:p>
    <w:p>
      <w:pPr>
        <w:pStyle w:val="Normal"/>
        <w:rPr>
          <w:rFonts w:ascii="Arial" w:hAnsi="Arial" w:cs="Arial"/>
          <w:sz w:val="22"/>
        </w:rPr>
      </w:pPr>
      <w:r>
        <w:rPr>
          <w:rFonts w:cs="Arial" w:ascii="Arial" w:hAnsi="Arial"/>
          <w:sz w:val="22"/>
        </w:rPr>
      </w:r>
    </w:p>
    <w:p>
      <w:pPr>
        <w:pStyle w:val="Heading1"/>
        <w:ind w:hanging="0" w:start="0"/>
        <w:rPr>
          <w:rFonts w:ascii="Arial" w:hAnsi="Arial" w:cs="Arial"/>
          <w:sz w:val="22"/>
        </w:rPr>
      </w:pPr>
      <w:r>
        <w:rPr>
          <w:rFonts w:cs="Arial" w:ascii="Arial" w:hAnsi="Arial"/>
          <w:sz w:val="22"/>
        </w:rPr>
        <w:t>Resolution</w:t>
      </w:r>
    </w:p>
    <w:p>
      <w:pPr>
        <w:pStyle w:val="Normal"/>
        <w:jc w:val="center"/>
        <w:rPr>
          <w:rFonts w:ascii="Arial" w:hAnsi="Arial" w:cs="Arial"/>
          <w:b/>
          <w:bCs/>
          <w:sz w:val="22"/>
        </w:rPr>
      </w:pPr>
      <w:r>
        <w:rPr>
          <w:rFonts w:cs="Arial" w:ascii="Arial" w:hAnsi="Arial"/>
          <w:b/>
          <w:bCs/>
          <w:sz w:val="22"/>
        </w:rPr>
      </w:r>
    </w:p>
    <w:p>
      <w:pPr>
        <w:pStyle w:val="BodyText2"/>
        <w:rPr/>
      </w:pPr>
      <w:r>
        <w:rPr/>
        <w:t>WHEREAS, the NERC Board of Trustees believes that the electricity marketplace is best served by having the Security Coordinator functions performed wholly independently from wholesale and retail merchant functions; and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WHEREAS, about one-half of the Security Coordinators are currently affiliated with some merchant function, with most of them planning to eventually transition their Security Coordinator responsibilities to RTOs that will be independent of market participants; and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WHEREAS, for most Security Coordinators independence is a transitional issue; and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WHEREAS, the transition to RTOs will not be immediate and uniform;</w:t>
      </w:r>
    </w:p>
    <w:p>
      <w:pPr>
        <w:pStyle w:val="Normal"/>
        <w:rPr>
          <w:rFonts w:ascii="Arial" w:hAnsi="Arial" w:cs="Arial"/>
          <w:sz w:val="22"/>
        </w:rPr>
      </w:pPr>
      <w:r>
        <w:rPr>
          <w:rFonts w:cs="Arial" w:ascii="Arial" w:hAnsi="Arial"/>
          <w:sz w:val="22"/>
        </w:rPr>
      </w:r>
    </w:p>
    <w:p>
      <w:pPr>
        <w:pStyle w:val="BodyText"/>
        <w:rPr/>
      </w:pPr>
      <w:r>
        <w:rPr/>
        <w:t>BE IT THEREFORE RESOLVED, that NERC take the following actions to assure that the Security Coordinator function is performed independently from wholesale and retail merchant functions:</w:t>
      </w:r>
    </w:p>
    <w:p>
      <w:pPr>
        <w:pStyle w:val="Normal"/>
        <w:rPr>
          <w:rFonts w:ascii="Arial" w:hAnsi="Arial" w:cs="Arial"/>
          <w:sz w:val="22"/>
        </w:rPr>
      </w:pPr>
      <w:r>
        <w:rPr>
          <w:rFonts w:cs="Arial" w:ascii="Arial" w:hAnsi="Arial"/>
          <w:sz w:val="22"/>
        </w:rPr>
      </w:r>
    </w:p>
    <w:p>
      <w:pPr>
        <w:pStyle w:val="Normal"/>
        <w:numPr>
          <w:ilvl w:val="0"/>
          <w:numId w:val="4"/>
        </w:numPr>
        <w:ind w:hanging="720" w:start="720" w:end="0"/>
        <w:rPr>
          <w:rFonts w:ascii="Arial" w:hAnsi="Arial" w:cs="Arial"/>
          <w:sz w:val="22"/>
        </w:rPr>
      </w:pPr>
      <w:r>
        <w:rPr>
          <w:rFonts w:cs="Arial" w:ascii="Arial" w:hAnsi="Arial"/>
          <w:sz w:val="22"/>
        </w:rPr>
        <w:t>Write to FERC detailing the current status of the independence of our Security Coordinators, supporting the independence principles of Order 2000, and informing FERC of actions NERC intends to take during the transition to RTOs.</w:t>
      </w:r>
    </w:p>
    <w:p>
      <w:pPr>
        <w:pStyle w:val="Normal"/>
        <w:rPr>
          <w:rFonts w:ascii="Arial" w:hAnsi="Arial" w:cs="Arial"/>
          <w:sz w:val="22"/>
        </w:rPr>
      </w:pPr>
      <w:r>
        <w:rPr>
          <w:rFonts w:cs="Arial" w:ascii="Arial" w:hAnsi="Arial"/>
          <w:sz w:val="22"/>
        </w:rPr>
      </w:r>
    </w:p>
    <w:p>
      <w:pPr>
        <w:pStyle w:val="Normal"/>
        <w:numPr>
          <w:ilvl w:val="0"/>
          <w:numId w:val="4"/>
        </w:numPr>
        <w:ind w:hanging="720" w:start="720" w:end="0"/>
        <w:rPr>
          <w:rFonts w:ascii="Arial" w:hAnsi="Arial" w:cs="Arial"/>
          <w:sz w:val="22"/>
        </w:rPr>
      </w:pPr>
      <w:r>
        <w:rPr>
          <w:rFonts w:cs="Arial" w:ascii="Arial" w:hAnsi="Arial"/>
          <w:sz w:val="22"/>
        </w:rPr>
        <w:t>Ask the Security Coordinators to provide NERC with an acknowledgement of their intent to make the transition to an RTO and a timeline for doing so.  For those Security Coordinators that will not transition to RTOs, ask them to submit a plan for how they will otherwise meet the goal of having the Security Coordinator function be wholly independent of the retail and wholesale merchant functions.</w:t>
      </w:r>
    </w:p>
    <w:p>
      <w:pPr>
        <w:pStyle w:val="Normal"/>
        <w:rPr>
          <w:rFonts w:ascii="Arial" w:hAnsi="Arial" w:cs="Arial"/>
          <w:sz w:val="22"/>
        </w:rPr>
      </w:pPr>
      <w:r>
        <w:rPr>
          <w:rFonts w:cs="Arial" w:ascii="Arial" w:hAnsi="Arial"/>
          <w:sz w:val="22"/>
        </w:rPr>
      </w:r>
    </w:p>
    <w:p>
      <w:pPr>
        <w:pStyle w:val="Normal"/>
        <w:numPr>
          <w:ilvl w:val="0"/>
          <w:numId w:val="4"/>
        </w:numPr>
        <w:ind w:hanging="720" w:start="720" w:end="0"/>
        <w:rPr>
          <w:rFonts w:ascii="Arial" w:hAnsi="Arial" w:cs="Arial"/>
          <w:sz w:val="22"/>
        </w:rPr>
      </w:pPr>
      <w:r>
        <w:rPr>
          <w:rFonts w:cs="Arial" w:ascii="Arial" w:hAnsi="Arial"/>
          <w:sz w:val="22"/>
        </w:rPr>
        <w:t>Instruct the NERC Director of Compliance to include procedures to evaluate how Security Coordinators are assuring that their operations are independent of those who participate in the marketplace as a part of his ongoing audits of Security Coordinators.  The Director of Compliance should also place a high priority on investigating specific complaints received by NERC where a Security Coordinator is alleged to have operated in a manner inconsistent with functioning independently of market participants.  Based on those audits and investigations, the Director of Compliance should make recommendations to the Board of Trustees, as appropriate, for compliance actions, changes to the Security Coordinator Standards of Conduct, and referrals to the Federal Energy Regulatory Commission and other governmental authorities.</w:t>
      </w:r>
      <w:r>
        <w:br w:type="page"/>
      </w:r>
    </w:p>
    <w:p>
      <w:pPr>
        <w:pStyle w:val="Heading1"/>
        <w:ind w:hanging="0" w:start="0"/>
        <w:rPr>
          <w:rFonts w:ascii="Arial" w:hAnsi="Arial" w:cs="Arial"/>
          <w:sz w:val="22"/>
        </w:rPr>
      </w:pPr>
      <w:r>
        <w:rPr>
          <w:rFonts w:cs="Arial" w:ascii="Arial" w:hAnsi="Arial"/>
          <w:sz w:val="22"/>
        </w:rPr>
        <w:t>Board Action on Composition and Voting of the NERC Standing Committees</w:t>
      </w:r>
    </w:p>
    <w:p>
      <w:pPr>
        <w:pStyle w:val="Heading1"/>
        <w:ind w:hanging="0" w:start="0"/>
        <w:rPr>
          <w:rFonts w:ascii="Arial" w:hAnsi="Arial" w:cs="Arial"/>
          <w:sz w:val="22"/>
        </w:rPr>
      </w:pPr>
      <w:r>
        <w:rPr>
          <w:rFonts w:cs="Arial" w:ascii="Arial" w:hAnsi="Arial"/>
          <w:sz w:val="22"/>
        </w:rPr>
        <w:t>(Board Agenda Item 22)</w:t>
      </w:r>
    </w:p>
    <w:p>
      <w:pPr>
        <w:pStyle w:val="Normal"/>
        <w:rPr>
          <w:rFonts w:ascii="Arial" w:hAnsi="Arial" w:cs="Arial"/>
          <w:sz w:val="22"/>
        </w:rPr>
      </w:pPr>
      <w:r>
        <w:rPr>
          <w:rFonts w:cs="Arial" w:ascii="Arial" w:hAnsi="Arial"/>
          <w:sz w:val="22"/>
        </w:rPr>
      </w:r>
    </w:p>
    <w:p>
      <w:pPr>
        <w:pStyle w:val="Normal"/>
        <w:numPr>
          <w:ilvl w:val="0"/>
          <w:numId w:val="2"/>
        </w:numPr>
        <w:ind w:hanging="720" w:start="720" w:end="0"/>
        <w:rPr>
          <w:rFonts w:ascii="Arial" w:hAnsi="Arial" w:cs="Arial"/>
          <w:sz w:val="22"/>
          <w:szCs w:val="22"/>
        </w:rPr>
      </w:pPr>
      <w:r>
        <w:rPr>
          <w:rFonts w:cs="Arial" w:ascii="Arial" w:hAnsi="Arial"/>
          <w:sz w:val="22"/>
          <w:szCs w:val="22"/>
        </w:rPr>
        <w:t xml:space="preserve">Endorse the six Initial Recommendations of the Standing Committee Representation Task Force </w:t>
      </w:r>
      <w:r>
        <w:rPr>
          <w:rFonts w:cs="Arial" w:ascii="Arial" w:hAnsi="Arial"/>
          <w:sz w:val="22"/>
        </w:rPr>
        <w:t>regarding the composition and voting of the NERC standing committees</w:t>
      </w:r>
      <w:r>
        <w:rPr>
          <w:rFonts w:cs="Arial" w:ascii="Arial" w:hAnsi="Arial"/>
          <w:sz w:val="22"/>
          <w:szCs w:val="22"/>
        </w:rPr>
        <w:t>.  (Copy attached.)</w:t>
      </w:r>
    </w:p>
    <w:p>
      <w:pPr>
        <w:pStyle w:val="Normal"/>
        <w:ind w:hanging="720" w:end="0"/>
        <w:rPr>
          <w:rFonts w:ascii="Arial" w:hAnsi="Arial" w:cs="Arial"/>
          <w:sz w:val="22"/>
          <w:szCs w:val="22"/>
        </w:rPr>
      </w:pPr>
      <w:r>
        <w:rPr>
          <w:rFonts w:cs="Arial" w:ascii="Arial" w:hAnsi="Arial"/>
          <w:sz w:val="22"/>
          <w:szCs w:val="22"/>
        </w:rPr>
      </w:r>
    </w:p>
    <w:p>
      <w:pPr>
        <w:pStyle w:val="Normal"/>
        <w:numPr>
          <w:ilvl w:val="0"/>
          <w:numId w:val="2"/>
        </w:numPr>
        <w:ind w:hanging="720" w:start="720" w:end="0"/>
        <w:rPr>
          <w:rFonts w:ascii="Arial" w:hAnsi="Arial" w:cs="Arial"/>
          <w:sz w:val="22"/>
          <w:szCs w:val="22"/>
        </w:rPr>
      </w:pPr>
      <w:r>
        <w:rPr>
          <w:rFonts w:cs="Arial" w:ascii="Arial" w:hAnsi="Arial"/>
          <w:sz w:val="22"/>
        </w:rPr>
        <w:t xml:space="preserve">Request the Standing Committee Representation Task Force to work with the three standing committees to finalize the details and implement the Initial Sectors and Criteria Model and weighted voting procedures by January 15, 2002, and to make conforming changes to the </w:t>
      </w:r>
      <w:r>
        <w:rPr>
          <w:rFonts w:cs="Arial" w:ascii="Arial" w:hAnsi="Arial"/>
          <w:i/>
          <w:iCs/>
          <w:sz w:val="22"/>
        </w:rPr>
        <w:t>Organization and Procedures for NERC Standing Committees</w:t>
      </w:r>
      <w:r>
        <w:rPr>
          <w:rFonts w:cs="Arial" w:ascii="Arial" w:hAnsi="Arial"/>
          <w:sz w:val="22"/>
        </w:rPr>
        <w:t xml:space="preserve"> and the </w:t>
      </w:r>
      <w:r>
        <w:rPr>
          <w:rFonts w:cs="Arial" w:ascii="Arial" w:hAnsi="Arial"/>
          <w:i/>
          <w:iCs/>
          <w:sz w:val="22"/>
        </w:rPr>
        <w:t>Organization Standards Process Manual</w:t>
      </w:r>
      <w:r>
        <w:rPr>
          <w:rFonts w:cs="Arial" w:ascii="Arial" w:hAnsi="Arial"/>
          <w:sz w:val="22"/>
        </w:rPr>
        <w:t>.</w:t>
      </w:r>
    </w:p>
    <w:p>
      <w:pPr>
        <w:pStyle w:val="Normal"/>
        <w:ind w:hanging="720" w:end="0"/>
        <w:rPr>
          <w:rFonts w:ascii="Arial" w:hAnsi="Arial" w:cs="Arial"/>
          <w:sz w:val="22"/>
          <w:szCs w:val="22"/>
        </w:rPr>
      </w:pPr>
      <w:r>
        <w:rPr>
          <w:rFonts w:cs="Arial" w:ascii="Arial" w:hAnsi="Arial"/>
          <w:sz w:val="22"/>
          <w:szCs w:val="22"/>
        </w:rPr>
      </w:r>
    </w:p>
    <w:p>
      <w:pPr>
        <w:pStyle w:val="Normal"/>
        <w:numPr>
          <w:ilvl w:val="0"/>
          <w:numId w:val="2"/>
        </w:numPr>
        <w:ind w:hanging="720" w:start="720" w:end="0"/>
        <w:rPr>
          <w:rFonts w:ascii="Arial" w:hAnsi="Arial" w:cs="Arial"/>
          <w:sz w:val="22"/>
          <w:szCs w:val="22"/>
        </w:rPr>
      </w:pPr>
      <w:r>
        <w:rPr>
          <w:rFonts w:cs="Arial" w:ascii="Arial" w:hAnsi="Arial"/>
          <w:sz w:val="22"/>
          <w:szCs w:val="22"/>
        </w:rPr>
        <w:t>Direct the standing committees to add two ISO/RTO representatives to each of the standing committees until the Initial Sectors and Criteria Model and weighted voting procedures have been implemented.</w:t>
      </w:r>
    </w:p>
    <w:p>
      <w:pPr>
        <w:pStyle w:val="Normal"/>
        <w:ind w:hanging="720" w:end="0"/>
        <w:rPr>
          <w:rFonts w:ascii="Arial" w:hAnsi="Arial" w:cs="Arial"/>
          <w:sz w:val="22"/>
          <w:szCs w:val="22"/>
        </w:rPr>
      </w:pPr>
      <w:r>
        <w:rPr>
          <w:rFonts w:cs="Arial" w:ascii="Arial" w:hAnsi="Arial"/>
          <w:sz w:val="22"/>
          <w:szCs w:val="22"/>
        </w:rPr>
      </w:r>
    </w:p>
    <w:p>
      <w:pPr>
        <w:pStyle w:val="Normal"/>
        <w:numPr>
          <w:ilvl w:val="0"/>
          <w:numId w:val="2"/>
        </w:numPr>
        <w:ind w:hanging="720" w:start="720" w:end="0"/>
        <w:rPr>
          <w:rFonts w:ascii="Arial" w:hAnsi="Arial" w:cs="Arial"/>
          <w:sz w:val="22"/>
          <w:szCs w:val="22"/>
        </w:rPr>
      </w:pPr>
      <w:r>
        <w:rPr>
          <w:rFonts w:cs="Arial" w:ascii="Arial" w:hAnsi="Arial"/>
          <w:sz w:val="22"/>
          <w:szCs w:val="22"/>
        </w:rPr>
        <w:t>Direct the Task Force to complete its final report for the Board’s February 2002 meeting.</w:t>
      </w:r>
    </w:p>
    <w:p>
      <w:pPr>
        <w:pStyle w:val="Normal"/>
        <w:autoSpaceDE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ind w:start="14" w:end="0"/>
        <w:rPr>
          <w:rFonts w:ascii="Arial" w:hAnsi="Arial" w:cs="Arial"/>
          <w:sz w:val="22"/>
        </w:rPr>
      </w:pPr>
      <w:r>
        <w:rPr>
          <w:rFonts w:cs="Arial" w:ascii="Arial" w:hAnsi="Arial"/>
          <w:sz w:val="22"/>
        </w:rPr>
      </w:r>
    </w:p>
    <w:sectPr>
      <w:footerReference w:type="default" r:id="rId2"/>
      <w:type w:val="nextPage"/>
      <w:pgSz w:w="12240" w:h="15840"/>
      <w:pgMar w:left="1440"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22"/>
      </w:rPr>
    </w:pPr>
    <w:r>
      <w:rPr>
        <w:rFonts w:cs="Arial" w:ascii="Arial" w:hAnsi="Arial"/>
        <w:sz w:val="22"/>
      </w:rPr>
      <w:t>Approved by NERC Board of Trustees</w:t>
    </w:r>
  </w:p>
  <w:p>
    <w:pPr>
      <w:pStyle w:val="Footer"/>
      <w:rPr>
        <w:rFonts w:ascii="Arial" w:hAnsi="Arial" w:cs="Arial"/>
        <w:sz w:val="22"/>
      </w:rPr>
    </w:pPr>
    <w:r>
      <w:rPr>
        <w:rFonts w:cs="Arial" w:ascii="Arial" w:hAnsi="Arial"/>
        <w:sz w:val="22"/>
      </w:rPr>
      <w:t>October 16, 2001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5z0">
    <w:name w:val="WW8Num5z0"/>
    <w:qFormat/>
    <w:rPr>
      <w:rFonts w:ascii="Wingdings" w:hAnsi="Wingdings" w:cs="Wingdings"/>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1">
    <w:name w:val="WW8Num6z1"/>
    <w:qFormat/>
    <w:rPr>
      <w:rFonts w:ascii="Wingdings" w:hAnsi="Wingdings" w:cs="Wingdings"/>
      <w:sz w:val="16"/>
    </w:rPr>
  </w:style>
  <w:style w:type="character" w:styleId="WW8Num7z0">
    <w:name w:val="WW8Num7z0"/>
    <w:qFormat/>
    <w:rPr>
      <w:rFonts w:ascii="Arial" w:hAnsi="Arial" w:cs="Arial"/>
      <w:sz w:val="22"/>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2001-10-18T22:45:00Z</dcterms:created>
  <dc:creator>Mike Gent</dc:creator>
  <dc:description/>
  <dc:language>en-CA</dc:language>
  <cp:lastModifiedBy>W. Reinke</cp:lastModifiedBy>
  <cp:lastPrinted>2001-10-14T19:27:00Z</cp:lastPrinted>
  <dcterms:modified xsi:type="dcterms:W3CDTF">2001-10-18T22:45:00Z</dcterms:modified>
  <cp:revision>2</cp:revision>
  <dc:subject/>
  <dc:title>The Future Role of NERC</dc:title>
</cp:coreProperties>
</file>