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May 12, 2000</w:t>
      </w:r>
    </w:p>
    <w:p>
      <w:pPr>
        <w:pStyle w:val="Normal"/>
        <w:jc w:val="both"/>
        <w:rPr>
          <w:sz w:val="24"/>
          <w:szCs w:val="24"/>
        </w:rPr>
      </w:pPr>
      <w:r>
        <w:rPr>
          <w:sz w:val="24"/>
          <w:szCs w:val="24"/>
        </w:rPr>
      </w:r>
    </w:p>
    <w:p>
      <w:pPr>
        <w:pStyle w:val="Normal"/>
        <w:jc w:val="both"/>
        <w:rPr>
          <w:sz w:val="24"/>
          <w:szCs w:val="24"/>
        </w:rPr>
      </w:pPr>
      <w:r>
        <w:rPr>
          <w:sz w:val="24"/>
          <w:szCs w:val="24"/>
        </w:rPr>
        <w:t>Mr. Howard Hawks</w:t>
      </w:r>
    </w:p>
    <w:p>
      <w:pPr>
        <w:pStyle w:val="Normal"/>
        <w:jc w:val="both"/>
        <w:rPr>
          <w:sz w:val="24"/>
          <w:szCs w:val="24"/>
        </w:rPr>
      </w:pPr>
      <w:r>
        <w:rPr>
          <w:sz w:val="24"/>
          <w:szCs w:val="24"/>
        </w:rPr>
        <w:t>Chairman, NERC Policy Interpretation Task Force</w:t>
      </w:r>
    </w:p>
    <w:p>
      <w:pPr>
        <w:pStyle w:val="Normal"/>
        <w:jc w:val="both"/>
        <w:rPr>
          <w:sz w:val="24"/>
          <w:szCs w:val="24"/>
        </w:rPr>
      </w:pPr>
      <w:r>
        <w:rPr>
          <w:sz w:val="24"/>
          <w:szCs w:val="24"/>
        </w:rPr>
        <w:t>Tenaska, Inc.</w:t>
      </w:r>
    </w:p>
    <w:p>
      <w:pPr>
        <w:pStyle w:val="Normal"/>
        <w:jc w:val="both"/>
        <w:rPr>
          <w:sz w:val="24"/>
          <w:szCs w:val="24"/>
        </w:rPr>
      </w:pPr>
      <w:r>
        <w:rPr>
          <w:sz w:val="24"/>
          <w:szCs w:val="24"/>
        </w:rPr>
        <w:t>1044 North 115 Street</w:t>
      </w:r>
    </w:p>
    <w:p>
      <w:pPr>
        <w:pStyle w:val="Normal"/>
        <w:jc w:val="both"/>
        <w:rPr>
          <w:sz w:val="24"/>
          <w:szCs w:val="24"/>
        </w:rPr>
      </w:pPr>
      <w:r>
        <w:rPr>
          <w:sz w:val="24"/>
          <w:szCs w:val="24"/>
        </w:rPr>
        <w:t>Suite 400</w:t>
      </w:r>
    </w:p>
    <w:p>
      <w:pPr>
        <w:pStyle w:val="Normal"/>
        <w:jc w:val="both"/>
        <w:rPr>
          <w:sz w:val="24"/>
          <w:szCs w:val="24"/>
        </w:rPr>
      </w:pPr>
      <w:r>
        <w:rPr>
          <w:sz w:val="24"/>
          <w:szCs w:val="24"/>
        </w:rPr>
        <w:t>Omaha, Nebraska  68154-4446</w:t>
      </w:r>
    </w:p>
    <w:p>
      <w:pPr>
        <w:pStyle w:val="Normal"/>
        <w:jc w:val="both"/>
        <w:rPr>
          <w:sz w:val="24"/>
          <w:szCs w:val="24"/>
        </w:rPr>
      </w:pPr>
      <w:r>
        <w:rPr>
          <w:sz w:val="24"/>
          <w:szCs w:val="24"/>
        </w:rPr>
      </w:r>
    </w:p>
    <w:p>
      <w:pPr>
        <w:pStyle w:val="Normal"/>
        <w:jc w:val="both"/>
        <w:rPr>
          <w:sz w:val="24"/>
          <w:szCs w:val="24"/>
        </w:rPr>
      </w:pPr>
      <w:r>
        <w:rPr>
          <w:sz w:val="24"/>
          <w:szCs w:val="24"/>
        </w:rPr>
        <w:t>Mr. Michehl R. Gent</w:t>
      </w:r>
    </w:p>
    <w:p>
      <w:pPr>
        <w:pStyle w:val="Normal"/>
        <w:jc w:val="both"/>
        <w:rPr>
          <w:sz w:val="24"/>
          <w:szCs w:val="24"/>
        </w:rPr>
      </w:pPr>
      <w:r>
        <w:rPr>
          <w:sz w:val="24"/>
          <w:szCs w:val="24"/>
        </w:rPr>
        <w:t>President</w:t>
      </w:r>
    </w:p>
    <w:p>
      <w:pPr>
        <w:pStyle w:val="Normal"/>
        <w:jc w:val="both"/>
        <w:rPr>
          <w:sz w:val="24"/>
          <w:szCs w:val="24"/>
        </w:rPr>
      </w:pPr>
      <w:r>
        <w:rPr>
          <w:sz w:val="24"/>
          <w:szCs w:val="24"/>
        </w:rPr>
        <w:t>North American Electric Reliability Council</w:t>
      </w:r>
    </w:p>
    <w:p>
      <w:pPr>
        <w:pStyle w:val="Heading1"/>
        <w:ind w:hanging="0" w:start="0"/>
        <w:rPr/>
      </w:pPr>
      <w:r>
        <w:rPr/>
        <w:t>Princeton Forrestal Village</w:t>
      </w:r>
    </w:p>
    <w:p>
      <w:pPr>
        <w:pStyle w:val="Normal"/>
        <w:jc w:val="both"/>
        <w:rPr>
          <w:sz w:val="24"/>
          <w:szCs w:val="24"/>
        </w:rPr>
      </w:pPr>
      <w:r>
        <w:rPr>
          <w:sz w:val="24"/>
          <w:szCs w:val="24"/>
        </w:rPr>
        <w:t>116-390 Village Boulevard</w:t>
      </w:r>
    </w:p>
    <w:p>
      <w:pPr>
        <w:pStyle w:val="Normal"/>
        <w:jc w:val="both"/>
        <w:rPr>
          <w:sz w:val="24"/>
          <w:szCs w:val="24"/>
        </w:rPr>
      </w:pPr>
      <w:r>
        <w:rPr>
          <w:sz w:val="24"/>
          <w:szCs w:val="24"/>
        </w:rPr>
        <w:t>Princeton, New Jersey  08540-5731</w:t>
      </w:r>
    </w:p>
    <w:p>
      <w:pPr>
        <w:pStyle w:val="Normal"/>
        <w:jc w:val="both"/>
        <w:rPr>
          <w:sz w:val="24"/>
          <w:szCs w:val="24"/>
        </w:rPr>
      </w:pPr>
      <w:r>
        <w:rPr>
          <w:sz w:val="24"/>
          <w:szCs w:val="24"/>
        </w:rPr>
      </w:r>
    </w:p>
    <w:p>
      <w:pPr>
        <w:pStyle w:val="Normal"/>
        <w:jc w:val="both"/>
        <w:rPr>
          <w:sz w:val="24"/>
          <w:szCs w:val="24"/>
        </w:rPr>
      </w:pPr>
      <w:r>
        <w:rPr>
          <w:sz w:val="24"/>
          <w:szCs w:val="24"/>
        </w:rPr>
        <w:t>Re:</w:t>
        <w:tab/>
        <w:t>Enron Control Areas</w:t>
      </w:r>
    </w:p>
    <w:p>
      <w:pPr>
        <w:pStyle w:val="Normal"/>
        <w:jc w:val="both"/>
        <w:rPr>
          <w:sz w:val="24"/>
          <w:szCs w:val="24"/>
        </w:rPr>
      </w:pPr>
      <w:r>
        <w:rPr>
          <w:sz w:val="24"/>
          <w:szCs w:val="24"/>
        </w:rPr>
      </w:r>
    </w:p>
    <w:p>
      <w:pPr>
        <w:pStyle w:val="Normal"/>
        <w:jc w:val="both"/>
        <w:rPr>
          <w:sz w:val="24"/>
          <w:szCs w:val="24"/>
        </w:rPr>
      </w:pPr>
      <w:r>
        <w:rPr>
          <w:sz w:val="24"/>
          <w:szCs w:val="24"/>
        </w:rPr>
        <w:t>Gentleman:</w:t>
      </w:r>
    </w:p>
    <w:p>
      <w:pPr>
        <w:pStyle w:val="Normal"/>
        <w:jc w:val="both"/>
        <w:rPr>
          <w:sz w:val="24"/>
          <w:szCs w:val="24"/>
        </w:rPr>
      </w:pPr>
      <w:r>
        <w:rPr>
          <w:sz w:val="24"/>
          <w:szCs w:val="24"/>
        </w:rPr>
      </w:r>
    </w:p>
    <w:p>
      <w:pPr>
        <w:pStyle w:val="Normal"/>
        <w:jc w:val="both"/>
        <w:rPr>
          <w:sz w:val="24"/>
          <w:szCs w:val="24"/>
        </w:rPr>
      </w:pPr>
      <w:r>
        <w:rPr>
          <w:sz w:val="24"/>
          <w:szCs w:val="24"/>
        </w:rPr>
        <w:t>Enron is in the process of completing the certification of a new control area ("ENLC") in MAIN.  We anticipate that ENLC will be certified as a control area within the next two weeks.  ENLC is a generation-only control area (the operationally identical configuration as the Enron control areas in TVA).  MAIN has indicated to Enron that it believes NERC's policy 3E regarding the netting of schedules is ambiguous and that it may not permit Enron to schedule transactions or reserve transmission into or out of Enron's MAIN control area in excess of the thermal transfer capability of the interconnection between Enron and the interconnecting utility, Commonwealth Edison (“ComEd”) for transactions that will not actually flow between ComEd and ENLC.</w:t>
      </w:r>
    </w:p>
    <w:p>
      <w:pPr>
        <w:pStyle w:val="Normal"/>
        <w:jc w:val="both"/>
        <w:rPr>
          <w:sz w:val="24"/>
          <w:szCs w:val="24"/>
        </w:rPr>
      </w:pPr>
      <w:r>
        <w:rPr>
          <w:sz w:val="24"/>
          <w:szCs w:val="24"/>
        </w:rPr>
      </w:r>
    </w:p>
    <w:p>
      <w:pPr>
        <w:pStyle w:val="Normal"/>
        <w:jc w:val="both"/>
        <w:rPr>
          <w:sz w:val="24"/>
          <w:szCs w:val="24"/>
        </w:rPr>
      </w:pPr>
      <w:r>
        <w:rPr>
          <w:sz w:val="24"/>
          <w:szCs w:val="24"/>
        </w:rPr>
        <w:t>In this connection, in a letter to Mr. Donald M. Benjamin dated April 27, 2000 (copy attached), the MAIN Security Committee requested the NERC Security Committee to interpret the following question:</w:t>
      </w:r>
    </w:p>
    <w:p>
      <w:pPr>
        <w:pStyle w:val="Normal"/>
        <w:jc w:val="both"/>
        <w:rPr>
          <w:sz w:val="24"/>
          <w:szCs w:val="24"/>
        </w:rPr>
      </w:pPr>
      <w:r>
        <w:rPr>
          <w:sz w:val="24"/>
          <w:szCs w:val="24"/>
        </w:rPr>
      </w:r>
    </w:p>
    <w:p>
      <w:pPr>
        <w:pStyle w:val="BlockText"/>
        <w:rPr/>
      </w:pPr>
      <w:r>
        <w:rPr/>
        <w:t>"Whether the net of schedules between two adjacent control areas is allowed by Policy 3E to exceed the total capacity of owned and arranged-for transmission facilities between the two control areas for the current and/or a future time period."</w:t>
      </w:r>
    </w:p>
    <w:p>
      <w:pPr>
        <w:pStyle w:val="Normal"/>
        <w:jc w:val="both"/>
        <w:rPr>
          <w:sz w:val="24"/>
          <w:szCs w:val="24"/>
        </w:rPr>
      </w:pPr>
      <w:r>
        <w:rPr>
          <w:sz w:val="24"/>
          <w:szCs w:val="24"/>
        </w:rPr>
      </w:r>
    </w:p>
    <w:p>
      <w:pPr>
        <w:pStyle w:val="Normal"/>
        <w:jc w:val="both"/>
        <w:rPr>
          <w:sz w:val="24"/>
          <w:szCs w:val="24"/>
        </w:rPr>
      </w:pPr>
      <w:r>
        <w:rPr>
          <w:sz w:val="24"/>
          <w:szCs w:val="24"/>
        </w:rPr>
        <w:t>Enron believes that this is one of the questions addressed by the NERC Policy Interpretation Task Force (PITF) in its letters dated October 26, 1999 and December 10, 1999 to Enron and TVA and Enron has demonstrated to MAIN that this issue has already been asked and answered by NERC.  Enron asks that the PITF send a response to MAIN as soon as possible consistent with its previous interpretations.</w:t>
      </w:r>
    </w:p>
    <w:p>
      <w:pPr>
        <w:pStyle w:val="Normal"/>
        <w:jc w:val="both"/>
        <w:rPr>
          <w:sz w:val="24"/>
          <w:szCs w:val="24"/>
        </w:rPr>
      </w:pPr>
      <w:r>
        <w:rPr>
          <w:sz w:val="24"/>
          <w:szCs w:val="24"/>
        </w:rPr>
      </w:r>
    </w:p>
    <w:p>
      <w:pPr>
        <w:pStyle w:val="Normal"/>
        <w:jc w:val="both"/>
        <w:rPr>
          <w:sz w:val="24"/>
          <w:szCs w:val="24"/>
        </w:rPr>
      </w:pPr>
      <w:r>
        <w:rPr>
          <w:sz w:val="24"/>
          <w:szCs w:val="24"/>
        </w:rPr>
        <w:t>As set forth below, the PITF addressed MAIN's precise question in the PITF letter dated December 10, 1999 at page 6 under TTC/ATC calculation:</w:t>
      </w:r>
    </w:p>
    <w:p>
      <w:pPr>
        <w:pStyle w:val="Normal"/>
        <w:jc w:val="both"/>
        <w:rPr>
          <w:sz w:val="24"/>
          <w:szCs w:val="24"/>
        </w:rPr>
      </w:pPr>
      <w:r>
        <w:rPr>
          <w:sz w:val="24"/>
          <w:szCs w:val="24"/>
        </w:rPr>
      </w:r>
    </w:p>
    <w:p>
      <w:pPr>
        <w:pStyle w:val="Normal"/>
        <w:ind w:start="720" w:end="720"/>
        <w:jc w:val="both"/>
        <w:rPr/>
      </w:pPr>
      <w:r>
        <w:rPr>
          <w:sz w:val="24"/>
          <w:szCs w:val="24"/>
        </w:rPr>
        <w:t xml:space="preserve">"The physical equipment limitations between Enron and TVA should apply only for reservations that </w:t>
      </w:r>
      <w:r>
        <w:rPr>
          <w:i/>
          <w:iCs/>
          <w:sz w:val="24"/>
          <w:szCs w:val="24"/>
        </w:rPr>
        <w:t>ultimately</w:t>
      </w:r>
      <w:r>
        <w:rPr>
          <w:sz w:val="24"/>
          <w:szCs w:val="24"/>
        </w:rPr>
        <w:t xml:space="preserve"> source or sink in the Enron control area, which seems rarely to be the case.  Both Enron and TVA seem to agree on this.  Because the actual interchange transactions that Enron generally wishes to implement are not flowing between TVA and Enron, the capability of the physical interconnection between these two control areas is not particularly meaningful.  The ATC (TTC) for transactions that are a combination of "source control area to Enron" and "Enron to sink control area" should be based on </w:t>
      </w:r>
      <w:r>
        <w:rPr>
          <w:i/>
          <w:iCs/>
          <w:sz w:val="24"/>
          <w:szCs w:val="24"/>
        </w:rPr>
        <w:t>network</w:t>
      </w:r>
      <w:r>
        <w:rPr>
          <w:sz w:val="24"/>
          <w:szCs w:val="24"/>
        </w:rPr>
        <w:t xml:space="preserve"> limits, not the physical interconnection between Enron and TVA.  Certainly, the "into the Enron control area" </w:t>
      </w:r>
      <w:r>
        <w:rPr>
          <w:i/>
          <w:iCs/>
          <w:sz w:val="24"/>
          <w:szCs w:val="24"/>
        </w:rPr>
        <w:t>net</w:t>
      </w:r>
      <w:r>
        <w:rPr>
          <w:sz w:val="24"/>
          <w:szCs w:val="24"/>
        </w:rPr>
        <w:t xml:space="preserve"> cannot exceed their load at the time of the schedule (or the rating of their transformer, whichever is less) and the "out of the Enron control area" </w:t>
      </w:r>
      <w:r>
        <w:rPr>
          <w:i/>
          <w:iCs/>
          <w:sz w:val="24"/>
          <w:szCs w:val="24"/>
        </w:rPr>
        <w:t>net</w:t>
      </w:r>
      <w:r>
        <w:rPr>
          <w:sz w:val="24"/>
          <w:szCs w:val="24"/>
        </w:rPr>
        <w:t xml:space="preserve"> cannot exceed their tie capability with TVA (or the output of their generation, whichever is less)."</w:t>
      </w:r>
    </w:p>
    <w:p>
      <w:pPr>
        <w:pStyle w:val="Normal"/>
        <w:jc w:val="both"/>
        <w:rPr>
          <w:sz w:val="24"/>
          <w:szCs w:val="24"/>
        </w:rPr>
      </w:pPr>
      <w:r>
        <w:rPr>
          <w:sz w:val="24"/>
          <w:szCs w:val="24"/>
        </w:rPr>
      </w:r>
    </w:p>
    <w:p>
      <w:pPr>
        <w:pStyle w:val="Normal"/>
        <w:jc w:val="both"/>
        <w:rPr>
          <w:sz w:val="24"/>
          <w:szCs w:val="24"/>
        </w:rPr>
      </w:pPr>
      <w:r>
        <w:rPr>
          <w:sz w:val="24"/>
          <w:szCs w:val="24"/>
        </w:rPr>
        <w:t>MAIN has indicated that it believes this language is inconclusive and Enron completely disagrees with MAIN's assertion.  However, because MAIN has appealed to NERC to address this issue and is considering taking unilateral action that would significantly harm Enron if implemented, Enron hereby requests NERC to inform MAIN that (1) the interpretation of the PITF in its letters dated October 26, 1999 and December 10, 1999 accurately states NERC's interpretation of the policy issues addressed therein based on NERC policy and that such interpretations are of general application to control areas with the same configuration as the Enron control areas in TVA, and (2) NERC policies currently permit any similar control area, including ENLC, to implement the same type of transactions that were approved by the PITF in its letters of October 26</w:t>
      </w:r>
      <w:r>
        <w:rPr>
          <w:sz w:val="24"/>
          <w:szCs w:val="24"/>
          <w:vertAlign w:val="superscript"/>
        </w:rPr>
        <w:t>th</w:t>
      </w:r>
      <w:r>
        <w:rPr>
          <w:sz w:val="24"/>
          <w:szCs w:val="24"/>
        </w:rPr>
        <w:t xml:space="preserve"> and December 10</w:t>
      </w:r>
      <w:r>
        <w:rPr>
          <w:sz w:val="24"/>
          <w:szCs w:val="24"/>
          <w:vertAlign w:val="superscript"/>
        </w:rPr>
        <w:t>th</w:t>
      </w:r>
      <w:r>
        <w:rPr>
          <w:sz w:val="24"/>
          <w:szCs w:val="24"/>
        </w:rPr>
        <w:t>, specific examples of such transactions are further outlined below.</w:t>
      </w:r>
      <w:r>
        <w:rPr>
          <w:rStyle w:val="FootnoteCharacters"/>
          <w:sz w:val="24"/>
          <w:szCs w:val="24"/>
        </w:rPr>
        <w:t xml:space="preserve"> </w:t>
      </w:r>
      <w:r>
        <w:rPr>
          <w:rStyle w:val="FootnoteCharacters"/>
          <w:rStyle w:val="FootnoteReference"/>
          <w:sz w:val="24"/>
          <w:szCs w:val="24"/>
        </w:rPr>
        <w:footnoteReference w:id="2"/>
      </w:r>
    </w:p>
    <w:p>
      <w:pPr>
        <w:pStyle w:val="Normal"/>
        <w:jc w:val="both"/>
        <w:rPr>
          <w:sz w:val="24"/>
          <w:szCs w:val="24"/>
        </w:rPr>
      </w:pPr>
      <w:r>
        <w:rPr>
          <w:sz w:val="24"/>
          <w:szCs w:val="24"/>
        </w:rPr>
      </w:r>
    </w:p>
    <w:p>
      <w:pPr>
        <w:pStyle w:val="Normal"/>
        <w:jc w:val="both"/>
        <w:rPr>
          <w:sz w:val="24"/>
          <w:szCs w:val="24"/>
        </w:rPr>
      </w:pPr>
      <w:r>
        <w:rPr>
          <w:sz w:val="24"/>
          <w:szCs w:val="24"/>
        </w:rPr>
        <w:t>Specifically, Enron believes that under current NERC policies, Enron has the right to reserve Available Transmission Capability (ATC) and schedule prospective transactions either into or out of Enron's control area in MAIN in advance of the actual transaction implementation.  The posted ATCs (and, thus, the ATC that potentially could be reserved by Enron) would be based on the overall rating of the transmission line and would not be limited to the thermal transfer capability of the interconnection between Enron's control area and the MAIN participant, ComEd.  (See Issue No. 1 in PITF letter dated October 26, 1999.)</w:t>
      </w:r>
    </w:p>
    <w:p>
      <w:pPr>
        <w:pStyle w:val="Normal"/>
        <w:jc w:val="both"/>
        <w:rPr>
          <w:sz w:val="24"/>
          <w:szCs w:val="24"/>
        </w:rPr>
      </w:pPr>
      <w:r>
        <w:rPr>
          <w:sz w:val="24"/>
          <w:szCs w:val="24"/>
        </w:rPr>
      </w:r>
    </w:p>
    <w:p>
      <w:pPr>
        <w:pStyle w:val="Normal"/>
        <w:jc w:val="both"/>
        <w:rPr>
          <w:sz w:val="24"/>
          <w:szCs w:val="24"/>
        </w:rPr>
      </w:pPr>
      <w:r>
        <w:rPr>
          <w:sz w:val="24"/>
          <w:szCs w:val="24"/>
        </w:rPr>
        <w:t>Enron may reserve such posted ATC on a year, month, week, day or hour ahead basis.  Enron may reserve ATC either into its control area or out of its control area, or both, for any future period.  On a day ahead (or longer) basis, Enron may "schedule" transactions using such reserved transmission to or from its control area – in effect, "parking" the transaction, in the sense that the designation is temporary and incomplete.  (See Issue No. 1 in PITF letter dated October 26, 1999.)</w:t>
      </w:r>
    </w:p>
    <w:p>
      <w:pPr>
        <w:pStyle w:val="Normal"/>
        <w:jc w:val="both"/>
        <w:rPr>
          <w:sz w:val="24"/>
          <w:szCs w:val="24"/>
        </w:rPr>
      </w:pPr>
      <w:r>
        <w:rPr>
          <w:sz w:val="24"/>
          <w:szCs w:val="24"/>
        </w:rPr>
      </w:r>
    </w:p>
    <w:p>
      <w:pPr>
        <w:pStyle w:val="Normal"/>
        <w:jc w:val="both"/>
        <w:rPr>
          <w:sz w:val="24"/>
          <w:szCs w:val="24"/>
        </w:rPr>
      </w:pPr>
      <w:r>
        <w:rPr>
          <w:sz w:val="24"/>
          <w:szCs w:val="24"/>
        </w:rPr>
        <w:t>At the time of the actual transaction implementation during the day or hour of delivery, Enron may "net schedule" by submitting two or more tags – one listing the MW to use the already purchased reservation into the control area (as a sink) and the other tag(s) listing the MW out of the control area using a currently purchased reservation (as the source)(or vice versa).  The MWs listed on these tags may not exceed on a net basis the thermal limits of the interconnection between the Enron control area and the MAIN participant.  This is what is referred to as "net scheduling."  (See Issue No. 4 in PITF letter dated October 26, 1999.)</w:t>
      </w:r>
    </w:p>
    <w:p>
      <w:pPr>
        <w:pStyle w:val="Normal"/>
        <w:jc w:val="both"/>
        <w:rPr>
          <w:sz w:val="24"/>
          <w:szCs w:val="24"/>
        </w:rPr>
      </w:pPr>
      <w:r>
        <w:rPr>
          <w:sz w:val="24"/>
          <w:szCs w:val="24"/>
        </w:rPr>
      </w:r>
    </w:p>
    <w:p>
      <w:pPr>
        <w:pStyle w:val="Normal"/>
        <w:jc w:val="both"/>
        <w:rPr>
          <w:sz w:val="24"/>
          <w:szCs w:val="24"/>
        </w:rPr>
      </w:pPr>
      <w:r>
        <w:rPr>
          <w:sz w:val="24"/>
          <w:szCs w:val="24"/>
        </w:rPr>
        <w:t>By way of illustration:</w:t>
      </w:r>
    </w:p>
    <w:p>
      <w:pPr>
        <w:pStyle w:val="Normal"/>
        <w:jc w:val="both"/>
        <w:rPr>
          <w:sz w:val="24"/>
          <w:szCs w:val="24"/>
        </w:rPr>
      </w:pPr>
      <w:r>
        <w:rPr>
          <w:sz w:val="24"/>
          <w:szCs w:val="24"/>
        </w:rPr>
      </w:r>
    </w:p>
    <w:p>
      <w:pPr>
        <w:pStyle w:val="Normal"/>
        <w:ind w:hanging="2160" w:start="2160" w:end="0"/>
        <w:jc w:val="both"/>
        <w:rPr>
          <w:sz w:val="24"/>
          <w:szCs w:val="24"/>
        </w:rPr>
      </w:pPr>
      <w:r>
        <w:rPr>
          <w:sz w:val="24"/>
          <w:szCs w:val="24"/>
        </w:rPr>
        <w:t>Week ahead:</w:t>
        <w:tab/>
        <w:t>ComEd has posted 1200 MW ATC for the path AEP-CE-Enron Control Area (ENLC).  Enron reserves 1200 MW on this path.</w:t>
      </w:r>
    </w:p>
    <w:p>
      <w:pPr>
        <w:pStyle w:val="Normal"/>
        <w:ind w:hanging="720" w:start="720" w:end="0"/>
        <w:jc w:val="both"/>
        <w:rPr>
          <w:sz w:val="24"/>
          <w:szCs w:val="24"/>
        </w:rPr>
      </w:pPr>
      <w:r>
        <w:rPr>
          <w:sz w:val="24"/>
          <w:szCs w:val="24"/>
        </w:rPr>
      </w:r>
    </w:p>
    <w:p>
      <w:pPr>
        <w:pStyle w:val="Normal"/>
        <w:ind w:hanging="2160" w:start="2160" w:end="0"/>
        <w:jc w:val="both"/>
        <w:rPr>
          <w:sz w:val="24"/>
          <w:szCs w:val="24"/>
        </w:rPr>
      </w:pPr>
      <w:r>
        <w:rPr>
          <w:sz w:val="24"/>
          <w:szCs w:val="24"/>
        </w:rPr>
        <w:t>Day ahead:</w:t>
        <w:tab/>
        <w:t>Enron sends ComEd an etag to "preschedule" 1200 MWs on Enron's reservation of the path AEP-CE-ENLC.</w:t>
      </w:r>
    </w:p>
    <w:p>
      <w:pPr>
        <w:pStyle w:val="Normal"/>
        <w:ind w:hanging="1440" w:start="1440" w:end="0"/>
        <w:jc w:val="both"/>
        <w:rPr>
          <w:sz w:val="24"/>
          <w:szCs w:val="24"/>
        </w:rPr>
      </w:pPr>
      <w:r>
        <w:rPr>
          <w:sz w:val="24"/>
          <w:szCs w:val="24"/>
        </w:rPr>
      </w:r>
    </w:p>
    <w:p>
      <w:pPr>
        <w:pStyle w:val="Normal"/>
        <w:ind w:hanging="2160" w:start="2160" w:end="0"/>
        <w:jc w:val="both"/>
        <w:rPr>
          <w:sz w:val="24"/>
          <w:szCs w:val="24"/>
        </w:rPr>
      </w:pPr>
      <w:r>
        <w:rPr>
          <w:sz w:val="24"/>
          <w:szCs w:val="24"/>
        </w:rPr>
        <w:t>During the day:</w:t>
        <w:tab/>
        <w:t>Enron reserves Hourly transmission for the path ENLC-CE-NIPSCO (posted ATC of 1800 MW).  Enron sends an etag to ComEd to schedule the transmission out of the Enron Control area on the path ENLC-CE-NISPCO.  Enron generates 600 MWs from its control area during this time.</w:t>
      </w:r>
    </w:p>
    <w:p>
      <w:pPr>
        <w:pStyle w:val="Normal"/>
        <w:ind w:hanging="2160" w:start="2160" w:end="0"/>
        <w:jc w:val="both"/>
        <w:rPr>
          <w:sz w:val="24"/>
          <w:szCs w:val="24"/>
        </w:rPr>
      </w:pPr>
      <w:r>
        <w:rPr>
          <w:sz w:val="24"/>
          <w:szCs w:val="24"/>
        </w:rPr>
      </w:r>
    </w:p>
    <w:p>
      <w:pPr>
        <w:pStyle w:val="Normal"/>
        <w:jc w:val="both"/>
        <w:rPr>
          <w:sz w:val="24"/>
          <w:szCs w:val="24"/>
        </w:rPr>
      </w:pPr>
      <w:r>
        <w:rPr>
          <w:sz w:val="24"/>
          <w:szCs w:val="24"/>
        </w:rPr>
        <w:t>This example is the similar example approved by the PITF in its October 26, 1999 letter (Issue No. 4), modified only to reflect the particulars in MAIN.  Accordingly, Enron believes the PITF has already approved the exact same reservation and transaction implementation process (1) that Enron intends to utilize in MAIN, (2) that Enron is currently utilizing in SERC, and (3) that has been agreed to by ECAR for Enron’s control area in ECAR.</w:t>
      </w:r>
    </w:p>
    <w:p>
      <w:pPr>
        <w:pStyle w:val="Normal"/>
        <w:jc w:val="both"/>
        <w:rPr>
          <w:sz w:val="24"/>
          <w:szCs w:val="24"/>
        </w:rPr>
      </w:pPr>
      <w:r>
        <w:rPr>
          <w:sz w:val="24"/>
          <w:szCs w:val="24"/>
        </w:rPr>
      </w:r>
    </w:p>
    <w:p>
      <w:pPr>
        <w:pStyle w:val="Normal"/>
        <w:jc w:val="both"/>
        <w:rPr/>
      </w:pPr>
      <w:r>
        <w:rPr>
          <w:sz w:val="24"/>
          <w:szCs w:val="24"/>
        </w:rPr>
        <w:t>In conclusion, the issue MAIN has requested the NERC Security Committee to address has been squarely addressed by the PITF already.  As the PITF concluded in its December 10</w:t>
      </w:r>
      <w:r>
        <w:rPr>
          <w:sz w:val="24"/>
          <w:szCs w:val="24"/>
          <w:vertAlign w:val="superscript"/>
        </w:rPr>
        <w:t>th</w:t>
      </w:r>
      <w:r>
        <w:rPr>
          <w:sz w:val="24"/>
          <w:szCs w:val="24"/>
        </w:rPr>
        <w:t xml:space="preserve"> letter,</w:t>
      </w:r>
    </w:p>
    <w:p>
      <w:pPr>
        <w:pStyle w:val="Normal"/>
        <w:jc w:val="both"/>
        <w:rPr>
          <w:sz w:val="24"/>
          <w:szCs w:val="24"/>
        </w:rPr>
      </w:pPr>
      <w:r>
        <w:rPr>
          <w:sz w:val="24"/>
          <w:szCs w:val="24"/>
        </w:rPr>
      </w:r>
    </w:p>
    <w:p>
      <w:pPr>
        <w:pStyle w:val="Normal"/>
        <w:ind w:start="720" w:end="720"/>
        <w:jc w:val="both"/>
        <w:rPr/>
      </w:pPr>
      <w:r>
        <w:rPr>
          <w:sz w:val="24"/>
          <w:szCs w:val="24"/>
        </w:rPr>
        <w:t xml:space="preserve">"the Task Force's letter stated that the issue boiled down to how long before the actual interchange transactions started did TVA </w:t>
      </w:r>
      <w:r>
        <w:rPr>
          <w:sz w:val="24"/>
          <w:szCs w:val="24"/>
          <w:u w:val="single"/>
        </w:rPr>
        <w:t>and other transmission providers</w:t>
      </w:r>
      <w:r>
        <w:rPr>
          <w:sz w:val="24"/>
          <w:szCs w:val="24"/>
        </w:rPr>
        <w:t xml:space="preserve"> need the complete source control area and sink control area for </w:t>
      </w:r>
      <w:r>
        <w:rPr>
          <w:i/>
          <w:iCs/>
          <w:sz w:val="24"/>
          <w:szCs w:val="24"/>
        </w:rPr>
        <w:t xml:space="preserve">all </w:t>
      </w:r>
      <w:r>
        <w:rPr>
          <w:sz w:val="24"/>
          <w:szCs w:val="24"/>
        </w:rPr>
        <w:t xml:space="preserve">transactions (those into the Enron control area and those out of the control area).  If it is 30, 40, or more minutes ahead, then all parties must be held to that same standard, including TVA's own merchant function ... To the extent that TVA, as both a control area and Security Coordinator, determines it would require more than 30 or 40 minutes before the actual start of the transactions to perform the necessary system analysis, some reevaluation of analysis tools and systems may be called for."  (Emphasis added.)  </w:t>
      </w:r>
    </w:p>
    <w:p>
      <w:pPr>
        <w:pStyle w:val="Normal"/>
        <w:keepNext w:val="true"/>
        <w:jc w:val="both"/>
        <w:rPr>
          <w:sz w:val="24"/>
          <w:szCs w:val="24"/>
        </w:rPr>
      </w:pPr>
      <w:r>
        <w:rPr>
          <w:sz w:val="24"/>
          <w:szCs w:val="24"/>
        </w:rPr>
      </w:r>
    </w:p>
    <w:p>
      <w:pPr>
        <w:pStyle w:val="Normal"/>
        <w:keepNext w:val="true"/>
        <w:jc w:val="both"/>
        <w:rPr/>
      </w:pPr>
      <w:r>
        <w:rPr>
          <w:sz w:val="24"/>
          <w:szCs w:val="24"/>
        </w:rPr>
        <w:t>Similarly, in its letter dated October 26</w:t>
      </w:r>
      <w:r>
        <w:rPr>
          <w:sz w:val="24"/>
          <w:szCs w:val="24"/>
          <w:vertAlign w:val="superscript"/>
        </w:rPr>
        <w:t>th</w:t>
      </w:r>
      <w:r>
        <w:rPr>
          <w:sz w:val="24"/>
          <w:szCs w:val="24"/>
        </w:rPr>
        <w:t>, the PITF concluded:</w:t>
      </w:r>
    </w:p>
    <w:p>
      <w:pPr>
        <w:pStyle w:val="Normal"/>
        <w:keepNext w:val="true"/>
        <w:jc w:val="both"/>
        <w:rPr>
          <w:sz w:val="24"/>
          <w:szCs w:val="24"/>
        </w:rPr>
      </w:pPr>
      <w:r>
        <w:rPr>
          <w:sz w:val="24"/>
          <w:szCs w:val="24"/>
        </w:rPr>
      </w:r>
    </w:p>
    <w:p>
      <w:pPr>
        <w:pStyle w:val="Normal"/>
        <w:ind w:start="720" w:end="720"/>
        <w:jc w:val="both"/>
        <w:rPr/>
      </w:pPr>
      <w:r>
        <w:rPr>
          <w:sz w:val="24"/>
          <w:szCs w:val="24"/>
        </w:rPr>
        <w:t xml:space="preserve">"If the volume of last minute transactions makes it impossible to analyze flows on the system, then the scheduling window must be closed earlier, </w:t>
      </w:r>
      <w:r>
        <w:rPr>
          <w:b/>
          <w:bCs/>
          <w:i/>
          <w:iCs/>
          <w:sz w:val="24"/>
          <w:szCs w:val="24"/>
        </w:rPr>
        <w:t>for everyone.</w:t>
      </w:r>
      <w:r>
        <w:rPr>
          <w:sz w:val="24"/>
          <w:szCs w:val="24"/>
        </w:rPr>
        <w:t>"  (October 26 letter at p. 7).</w:t>
      </w:r>
    </w:p>
    <w:p>
      <w:pPr>
        <w:pStyle w:val="Normal"/>
        <w:jc w:val="both"/>
        <w:rPr>
          <w:sz w:val="24"/>
          <w:szCs w:val="24"/>
        </w:rPr>
      </w:pPr>
      <w:r>
        <w:rPr>
          <w:sz w:val="24"/>
          <w:szCs w:val="24"/>
        </w:rPr>
      </w:r>
    </w:p>
    <w:p>
      <w:pPr>
        <w:pStyle w:val="Normal"/>
        <w:jc w:val="both"/>
        <w:rPr>
          <w:sz w:val="24"/>
          <w:szCs w:val="24"/>
        </w:rPr>
      </w:pPr>
      <w:r>
        <w:rPr>
          <w:sz w:val="24"/>
          <w:szCs w:val="24"/>
        </w:rPr>
        <w:t>Enron fully expects MAIN to abide by these express PITF interpretations of NERC policies and is not asking MAIN to do anything other than what was approved by the PITF in its two letters of interpretation.  Enron appreciates NERC's ongoing involvement in this issue, and looks forward to NERC's assistance in resolving any misunderstandings that may exist.</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Very truly yours,</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Richard Ingersoll</w:t>
      </w:r>
    </w:p>
    <w:p>
      <w:pPr>
        <w:pStyle w:val="Normal"/>
        <w:jc w:val="both"/>
        <w:rPr>
          <w:sz w:val="24"/>
          <w:szCs w:val="24"/>
        </w:rPr>
      </w:pPr>
      <w:r>
        <w:rPr>
          <w:sz w:val="24"/>
          <w:szCs w:val="24"/>
        </w:rPr>
        <w:t>Vice President</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cc:</w:t>
        <w:tab/>
        <w:t>Mr. Gary Neale, Chairman, NERC Board of Trustees</w:t>
      </w:r>
    </w:p>
    <w:p>
      <w:pPr>
        <w:pStyle w:val="Normal"/>
        <w:ind w:firstLine="720" w:end="0"/>
        <w:jc w:val="both"/>
        <w:rPr>
          <w:sz w:val="24"/>
          <w:szCs w:val="24"/>
        </w:rPr>
      </w:pPr>
      <w:r>
        <w:rPr>
          <w:sz w:val="24"/>
          <w:szCs w:val="24"/>
        </w:rPr>
        <w:t>Mr. Donald M. Benjamin, NERC, Director of Operations</w:t>
      </w:r>
    </w:p>
    <w:p>
      <w:pPr>
        <w:pStyle w:val="Normal"/>
        <w:jc w:val="both"/>
        <w:rPr>
          <w:sz w:val="24"/>
          <w:szCs w:val="24"/>
        </w:rPr>
      </w:pPr>
      <w:r>
        <w:rPr>
          <w:sz w:val="24"/>
          <w:szCs w:val="24"/>
        </w:rPr>
        <w:tab/>
        <w:t>Mr. Roger C. Harszy, Chairman, MAIN Security Committee</w:t>
      </w:r>
    </w:p>
    <w:p>
      <w:pPr>
        <w:pStyle w:val="Normal"/>
        <w:jc w:val="both"/>
        <w:rPr>
          <w:sz w:val="24"/>
          <w:szCs w:val="24"/>
        </w:rPr>
      </w:pPr>
      <w:r>
        <w:rPr>
          <w:sz w:val="24"/>
          <w:szCs w:val="24"/>
        </w:rPr>
        <w:tab/>
        <w:t>Mr. William C. Phillips, Chairman, NERC Operating Committee</w:t>
      </w:r>
    </w:p>
    <w:p>
      <w:pPr>
        <w:pStyle w:val="Normal"/>
        <w:jc w:val="both"/>
        <w:rPr>
          <w:sz w:val="24"/>
          <w:szCs w:val="24"/>
        </w:rPr>
      </w:pPr>
      <w:r>
        <w:rPr>
          <w:sz w:val="24"/>
          <w:szCs w:val="24"/>
        </w:rPr>
        <w:tab/>
        <w:t xml:space="preserve">Mr. Gordon Scott, NERC </w:t>
      </w:r>
    </w:p>
    <w:p>
      <w:pPr>
        <w:pStyle w:val="Normal"/>
        <w:jc w:val="both"/>
        <w:rPr>
          <w:sz w:val="24"/>
          <w:szCs w:val="24"/>
        </w:rPr>
      </w:pPr>
      <w:r>
        <w:rPr>
          <w:sz w:val="24"/>
          <w:szCs w:val="24"/>
        </w:rPr>
        <w:tab/>
      </w:r>
    </w:p>
    <w:p>
      <w:pPr>
        <w:pStyle w:val="Normal"/>
        <w:jc w:val="both"/>
        <w:rPr>
          <w:sz w:val="24"/>
          <w:szCs w:val="24"/>
        </w:rPr>
      </w:pPr>
      <w:r>
        <w:rPr>
          <w:sz w:val="24"/>
          <w:szCs w:val="24"/>
        </w:rPr>
        <w:tab/>
      </w:r>
    </w:p>
    <w:sectPr>
      <w:headerReference w:type="default" r:id="rId2"/>
      <w:headerReference w:type="first" r:id="rId3"/>
      <w:footnotePr>
        <w:numFmt w:val="decimal"/>
      </w:footnotePr>
      <w:type w:val="nextPage"/>
      <w:pgSz w:w="12240" w:h="15840"/>
      <w:pgMar w:left="1800" w:right="1800" w:gutter="0" w:header="720" w:top="1440" w:footer="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b/>
        <w:t>NERC has a control area task force that is addressing control area issues for future implementation.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sz w:val="24"/>
        <w:szCs w:val="24"/>
      </w:rPr>
    </w:pPr>
    <w:r>
      <w:rPr>
        <w:sz w:val="24"/>
        <w:szCs w:val="24"/>
      </w:rPr>
      <w:t>North American Electric Reliability Council</w:t>
    </w:r>
  </w:p>
  <w:p>
    <w:pPr>
      <w:pStyle w:val="Header"/>
      <w:rPr>
        <w:sz w:val="24"/>
        <w:szCs w:val="24"/>
      </w:rPr>
    </w:pPr>
    <w:r>
      <w:rPr>
        <w:sz w:val="24"/>
        <w:szCs w:val="24"/>
      </w:rPr>
      <w:t>May 12, 2000</w:t>
    </w:r>
  </w:p>
  <w:p>
    <w:pPr>
      <w:pStyle w:val="Header"/>
      <w:rPr>
        <w:rStyle w:val="PageNumber"/>
        <w:sz w:val="24"/>
        <w:szCs w:val="24"/>
      </w:rPr>
    </w:pPr>
    <w:r>
      <w:rPr>
        <w:sz w:val="24"/>
        <w:szCs w:val="24"/>
      </w:rPr>
      <w:t xml:space="preserve">Page </w:t>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4</w:t>
    </w:r>
    <w:r>
      <w:rPr>
        <w:rStyle w:val="PageNumber"/>
        <w:sz w:val="24"/>
        <w:szCs w:val="24"/>
      </w:rPr>
      <w:fldChar w:fldCharType="end"/>
    </w:r>
  </w:p>
  <w:p>
    <w:pPr>
      <w:pStyle w:val="Header"/>
      <w:rPr>
        <w:rStyle w:val="PageNumber"/>
        <w:sz w:val="24"/>
        <w:szCs w:val="24"/>
      </w:rPr>
    </w:pPr>
    <w:r>
      <w:rPr/>
    </w:r>
  </w:p>
  <w:p>
    <w:pPr>
      <w:pStyle w:val="Header"/>
      <w:rPr>
        <w:rStyle w:val="PageNumber"/>
        <w:sz w:val="24"/>
        <w:szCs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sz w:val="24"/>
      <w:szCs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ind w:hanging="0" w:start="720" w:end="720"/>
      <w:jc w:val="both"/>
    </w:pPr>
    <w:rPr>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2000-05-11T11:35:00Z</dcterms:created>
  <dc:creator>appinst</dc:creator>
  <dc:description/>
  <dc:language>en-CA</dc:language>
  <cp:lastModifiedBy>appinst</cp:lastModifiedBy>
  <cp:lastPrinted>2000-05-11T16:05:00Z</cp:lastPrinted>
  <dcterms:modified xsi:type="dcterms:W3CDTF">2000-05-12T12:16:00Z</dcterms:modified>
  <cp:revision>20</cp:revision>
  <dc:subject/>
  <dc:title>May 10, 2000</dc:title>
</cp:coreProperties>
</file>