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EPSA Support at NERC</w:t>
      </w:r>
    </w:p>
    <w:p>
      <w:pPr>
        <w:pStyle w:val="Normal"/>
        <w:rPr/>
      </w:pPr>
      <w:r>
        <w:rPr/>
      </w:r>
    </w:p>
    <w:p>
      <w:pPr>
        <w:pStyle w:val="Normal"/>
        <w:rPr/>
      </w:pPr>
      <w:r>
        <w:rPr/>
        <w:t xml:space="preserve">As part of an effort to establish NERC (or NAERO) as the legislatively backed governing body on electric wholesale reliability issues, NERC members agreed to establish an all independent Board of Trustees on March 30, 2001.   </w:t>
      </w:r>
    </w:p>
    <w:p>
      <w:pPr>
        <w:pStyle w:val="Normal"/>
        <w:rPr/>
      </w:pPr>
      <w:r>
        <w:rPr/>
      </w:r>
    </w:p>
    <w:p>
      <w:pPr>
        <w:pStyle w:val="Normal"/>
        <w:rPr/>
      </w:pPr>
      <w:r>
        <w:rPr/>
        <w:t>The Electric Power Supply Association, representing many market players in the wholesale electric market, is holding a Summit on NERC issues to discern what is EPSA’s role at NERC now that NERC’s final authority lies in the hands of independent, non-stakeholder experts.  However, the functionality of the reorganized NERC and the effectiveness of the Independent Board to make rational reliability vs. market decisions lies solely on the success of the Standing Committees.</w:t>
      </w:r>
    </w:p>
    <w:p>
      <w:pPr>
        <w:pStyle w:val="Normal"/>
        <w:rPr/>
      </w:pPr>
      <w:r>
        <w:rPr/>
      </w:r>
    </w:p>
    <w:p>
      <w:pPr>
        <w:pStyle w:val="Normal"/>
        <w:rPr/>
      </w:pPr>
      <w:r>
        <w:rPr/>
        <w:t>This paper is intended to provide background on the NERC structure and process and raise questions that transmission customers should consider in making a decision to direct EPSA’s future efforts on electric reliability policies.</w:t>
      </w:r>
    </w:p>
    <w:p>
      <w:pPr>
        <w:pStyle w:val="Normal"/>
        <w:rPr/>
      </w:pPr>
      <w:r>
        <w:rPr/>
      </w:r>
    </w:p>
    <w:p>
      <w:pPr>
        <w:pStyle w:val="Heading1"/>
        <w:ind w:hanging="0" w:start="0"/>
        <w:rPr/>
      </w:pPr>
      <w:r>
        <w:rPr/>
        <w:t>NERC – Present Day</w:t>
      </w:r>
    </w:p>
    <w:p>
      <w:pPr>
        <w:pStyle w:val="Normal"/>
        <w:rPr/>
      </w:pPr>
      <w:r>
        <w:rPr/>
      </w:r>
    </w:p>
    <w:p>
      <w:pPr>
        <w:pStyle w:val="Normal"/>
        <w:rPr/>
      </w:pPr>
      <w:r>
        <w:rPr/>
        <w:t>The 3 NERC Standing Committees, the Market Interface, Operating, and Planning Committees are composed of an industry representative mix of market segments.</w:t>
      </w:r>
      <w:r>
        <w:rPr>
          <w:rStyle w:val="FootnoteCharacters"/>
          <w:rStyle w:val="FootnoteReference"/>
        </w:rPr>
        <w:footnoteReference w:id="2"/>
      </w:r>
      <w:r>
        <w:rPr/>
        <w:t xml:space="preserve">  This provides a voice by each market segment in the voting of any and all changes to NERC policies.   Without adequate market participation, the 3 Standing Committees would falter in their ability to provide balanced votes.  Not only is it important to maintain full participation at the Standing Committees level, many of the market vs. reliability battles are fought at the OC Subcommittee level where NERC Operating Policies are formed.  These subcommittees were reconstituted last year after customers cried out at the MIC for “ownership” in approving the OC policies.  The OC and MIC subcommittees now require a 50/50 balance of customers and providers.</w:t>
      </w:r>
    </w:p>
    <w:p>
      <w:pPr>
        <w:pStyle w:val="Normal"/>
        <w:rPr/>
      </w:pPr>
      <w:r>
        <w:rPr/>
      </w:r>
    </w:p>
    <w:p>
      <w:pPr>
        <w:pStyle w:val="Heading1"/>
        <w:ind w:hanging="0" w:start="0"/>
        <w:rPr/>
      </w:pPr>
      <w:r>
        <w:rPr/>
        <w:t>NERC’s Direct Effects on the Market</w:t>
      </w:r>
    </w:p>
    <w:p>
      <w:pPr>
        <w:pStyle w:val="Normal"/>
        <w:rPr/>
      </w:pPr>
      <w:r>
        <w:rPr/>
      </w:r>
    </w:p>
    <w:p>
      <w:pPr>
        <w:pStyle w:val="Normal"/>
        <w:rPr/>
      </w:pPr>
      <w:r>
        <w:rPr/>
        <w:t>Some critical issues that the NERC’s committees and its subcommittees address are:</w:t>
      </w:r>
    </w:p>
    <w:p>
      <w:pPr>
        <w:pStyle w:val="Normal"/>
        <w:numPr>
          <w:ilvl w:val="0"/>
          <w:numId w:val="2"/>
        </w:numPr>
        <w:rPr/>
      </w:pPr>
      <w:r>
        <w:rPr/>
        <w:t>E-Tag data requirements and submission times to implement delivery of market transactions</w:t>
      </w:r>
    </w:p>
    <w:p>
      <w:pPr>
        <w:pStyle w:val="Normal"/>
        <w:numPr>
          <w:ilvl w:val="0"/>
          <w:numId w:val="2"/>
        </w:numPr>
        <w:rPr/>
      </w:pPr>
      <w:r>
        <w:rPr/>
        <w:t>Transmission Line Relief (TLR) procedures that govern the curtailment priorities of transactions to manage transmission congestion</w:t>
      </w:r>
    </w:p>
    <w:p>
      <w:pPr>
        <w:pStyle w:val="Normal"/>
        <w:numPr>
          <w:ilvl w:val="0"/>
          <w:numId w:val="2"/>
        </w:numPr>
        <w:rPr/>
      </w:pPr>
      <w:r>
        <w:rPr/>
        <w:t>Assessment of native load service impacts on transmission constraints</w:t>
      </w:r>
    </w:p>
    <w:p>
      <w:pPr>
        <w:pStyle w:val="Normal"/>
        <w:numPr>
          <w:ilvl w:val="0"/>
          <w:numId w:val="2"/>
        </w:numPr>
        <w:rPr/>
      </w:pPr>
      <w:r>
        <w:rPr/>
        <w:t>Calculation of ATC values and coordination at interfaces</w:t>
      </w:r>
    </w:p>
    <w:p>
      <w:pPr>
        <w:pStyle w:val="Normal"/>
        <w:numPr>
          <w:ilvl w:val="0"/>
          <w:numId w:val="2"/>
        </w:numPr>
        <w:rPr/>
      </w:pPr>
      <w:r>
        <w:rPr/>
        <w:t>Planning standards requirements for generators</w:t>
      </w:r>
    </w:p>
    <w:p>
      <w:pPr>
        <w:pStyle w:val="Normal"/>
        <w:numPr>
          <w:ilvl w:val="0"/>
          <w:numId w:val="2"/>
        </w:numPr>
        <w:rPr/>
      </w:pPr>
      <w:r>
        <w:rPr/>
        <w:t xml:space="preserve">Organizational structure of system operators to assure reliable operations and potentially requirements for independence from merchant functions </w:t>
      </w:r>
    </w:p>
    <w:p>
      <w:pPr>
        <w:pStyle w:val="Normal"/>
        <w:rPr/>
      </w:pPr>
      <w:r>
        <w:rPr/>
      </w:r>
    </w:p>
    <w:p>
      <w:pPr>
        <w:pStyle w:val="Normal"/>
        <w:rPr/>
      </w:pPr>
      <w:r>
        <w:rPr/>
      </w:r>
    </w:p>
    <w:p>
      <w:pPr>
        <w:pStyle w:val="Normal"/>
        <w:rPr/>
      </w:pPr>
      <w:r>
        <w:rPr/>
        <w:t xml:space="preserve">These issues directly impact the market community and today are specified solely by NERC.  All transmission companies in North America (except Mexico) defer to NERC to establish operation and planning standards.   </w:t>
      </w:r>
    </w:p>
    <w:p>
      <w:pPr>
        <w:pStyle w:val="Normal"/>
        <w:rPr/>
      </w:pPr>
      <w:r>
        <w:rPr/>
      </w:r>
    </w:p>
    <w:p>
      <w:pPr>
        <w:pStyle w:val="Normal"/>
        <w:rPr/>
      </w:pPr>
      <w:r>
        <w:rPr/>
        <w:t xml:space="preserve">It is through a process of public comment, balanced subcommittee voting, market segment representative standing committee approval and finally Independent Board approval that policy changes are effected and become the “law of the land.” </w:t>
      </w:r>
      <w:r>
        <w:rPr>
          <w:rStyle w:val="FootnoteCharacters"/>
          <w:rStyle w:val="FootnoteReference"/>
        </w:rPr>
        <w:footnoteReference w:id="3"/>
      </w:r>
    </w:p>
    <w:p>
      <w:pPr>
        <w:pStyle w:val="Normal"/>
        <w:rPr/>
      </w:pPr>
      <w:r>
        <w:rPr/>
      </w:r>
    </w:p>
    <w:p>
      <w:pPr>
        <w:pStyle w:val="Heading1"/>
        <w:ind w:hanging="0" w:start="0"/>
        <w:rPr/>
      </w:pPr>
      <w:r>
        <w:rPr/>
        <w:t>What If?</w:t>
      </w:r>
    </w:p>
    <w:p>
      <w:pPr>
        <w:pStyle w:val="Normal"/>
        <w:rPr/>
      </w:pPr>
      <w:r>
        <w:rPr/>
        <w:br/>
        <w:t>If transmission customers choose not continue to support and participate in the NERC groups, in the near-term NERC will continue to pursue its course of establishing these reliability standards through filling of vacant seats with “quasi” customers.  These may be close affiliate marketers (Load Serving Entities with obligation to serve native load where there is no retail access), or cooperatives and municipal entities that although may be captive transmission customers, differ from marketers and IPPs in their perspective on market issues due mostly to their continued obligation to serve load and perhaps in their limitations due to tax and cost-based restrictions.   The effect would be a lack of competitive market perspective in the reliability standards setting process while at the same time, NERC would be able to tout that they are an industry representative and balanced voice for the establishment of these standards.</w:t>
      </w:r>
    </w:p>
    <w:p>
      <w:pPr>
        <w:pStyle w:val="Normal"/>
        <w:rPr/>
      </w:pPr>
      <w:r>
        <w:rPr/>
      </w:r>
    </w:p>
    <w:p>
      <w:pPr>
        <w:pStyle w:val="Heading1"/>
        <w:ind w:hanging="0" w:start="0"/>
        <w:rPr/>
      </w:pPr>
      <w:r>
        <w:rPr/>
        <w:t>If Not NERC – What Next?</w:t>
      </w:r>
    </w:p>
    <w:p>
      <w:pPr>
        <w:pStyle w:val="Normal"/>
        <w:rPr/>
      </w:pPr>
      <w:r>
        <w:rPr/>
      </w:r>
    </w:p>
    <w:p>
      <w:pPr>
        <w:pStyle w:val="Normal"/>
        <w:rPr/>
      </w:pPr>
      <w:r>
        <w:rPr/>
        <w:t>If EPSA members choose not to support NERC, then to what forum should these critical market interface issues be taken?   The formation of RTOs is one possible forum.  RTOs may provide more representative voting – however, their authority over reliability standards are not yet clear.  In fact, NERC in its pursuit of becoming NAERO is trying to evolve their standards into “core reliability” principles and then possibly dole out the implementation and enforcement of these policies to either Regional Reliability   Councils or RTOs.   Each and every RTO/RRC may then have to interpret and possibly impose inconsistent requirements on their respective members.  Certainly, customers should not have to pursue rulemakings and policy interpretation at every RTO and RRC. The core reliability policies must still be centrally based to provide consistency for a seamless market.</w:t>
      </w:r>
    </w:p>
    <w:p>
      <w:pPr>
        <w:pStyle w:val="Normal"/>
        <w:rPr/>
      </w:pPr>
      <w:r>
        <w:rPr/>
      </w:r>
    </w:p>
    <w:p>
      <w:pPr>
        <w:pStyle w:val="Normal"/>
        <w:rPr/>
      </w:pPr>
      <w:r>
        <w:rPr/>
        <w:t>GISB may be an alternative.  However, their process of approval, though very inclusive and expansive, will require more time to achieve consensus and approval than the NERC/NAERO process.   Due to the immediate nature for operating policy changes to follow changes in the electric wholesale market, system operators will argue that a GISB effort to establish electric reliability rules will likely have to be complemented with a “lighter” approval process to enable quick policy changes.  This of course raises the question of how fair such a process would be.</w:t>
      </w:r>
    </w:p>
    <w:p>
      <w:pPr>
        <w:pStyle w:val="Normal"/>
        <w:rPr/>
      </w:pPr>
      <w:r>
        <w:rPr/>
      </w:r>
    </w:p>
    <w:p>
      <w:pPr>
        <w:pStyle w:val="Normal"/>
        <w:rPr/>
      </w:pPr>
      <w:r>
        <w:rPr/>
        <w:t>The competitive market players should continue to push for FERC to adopt more of these reliability standards into the rulemaking process.  However, FERC has repeatedly deferred to industry representative groups to provide them with the technical expertise as seen in development of OASIS Phase I and OASIS Phase II Business Practices.  Although these groups are not within the NERC realm, the membership and participation of these groups are essentially the same entities that participate in the NERC process where the technical expertise lies.  Because of  the inextricable link between market practices and the reliability aspects of the electric transmission system, FERC is not likely to take a more active role in addressing the market interface issues until they gain a comfort level on their ability to address reliability impacts.</w:t>
      </w:r>
    </w:p>
    <w:p>
      <w:pPr>
        <w:pStyle w:val="Normal"/>
        <w:rPr/>
      </w:pPr>
      <w:r>
        <w:rPr/>
      </w:r>
    </w:p>
    <w:p>
      <w:pPr>
        <w:pStyle w:val="Heading1"/>
        <w:ind w:hanging="0" w:start="0"/>
        <w:rPr/>
      </w:pPr>
      <w:r>
        <w:rPr/>
        <w:t>Conclusion</w:t>
      </w:r>
    </w:p>
    <w:p>
      <w:pPr>
        <w:pStyle w:val="Normal"/>
        <w:rPr>
          <w:u w:val="single"/>
        </w:rPr>
      </w:pPr>
      <w:r>
        <w:rPr>
          <w:u w:val="single"/>
        </w:rPr>
      </w:r>
    </w:p>
    <w:p>
      <w:pPr>
        <w:pStyle w:val="Normal"/>
        <w:rPr/>
      </w:pPr>
      <w:r>
        <w:rPr/>
        <w:t>In summary, in the near term, until a more definitive standards setting organization for the North American electric grid is defined that provides independent decision making and open and inclusive market participation, the inherent danger in ignoring the NERC/NAERO forum is a retrenchment of utility dominated decision making of the market impacting reliability policies.  Transmission customers need to be aware that the incumbent utilities will continue to establish forums where, if unchecked, their views can dominate the rulemaking process.</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NERC “Organization and Procedures Manual for NERC Standing Committees”, approved by NERC BOT February 7, 2000, available at URL: ftp://www.nerc.com/pub/sys/all_updl/docs/misc/NERCCommitteesManual0200.doc</w:t>
      </w:r>
    </w:p>
  </w:footnote>
  <w:footnote w:id="3">
    <w:p>
      <w:pPr>
        <w:pStyle w:val="FootnoteText"/>
        <w:rPr/>
      </w:pPr>
      <w:r>
        <w:rPr>
          <w:rStyle w:val="FootnoteCharacters"/>
        </w:rPr>
        <w:footnoteRef/>
      </w:r>
      <w:r>
        <w:rPr/>
        <w:t xml:space="preserve"> “</w:t>
      </w:r>
      <w:r>
        <w:rPr/>
        <w:t>Process for Developing and Approving NERC Standards”, approved by NERC BOT September 16, 1997, available at URL: http://www.nerc.com/standards/process.html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2001-04-10T19:39:00Z</dcterms:created>
  <dc:creator>cyeung</dc:creator>
  <dc:description/>
  <dc:language>en-CA</dc:language>
  <cp:lastModifiedBy>cyeung</cp:lastModifiedBy>
  <cp:lastPrinted>2001-04-06T09:20:00Z</cp:lastPrinted>
  <dcterms:modified xsi:type="dcterms:W3CDTF">2001-04-11T11:24:00Z</dcterms:modified>
  <cp:revision>17</cp:revision>
  <dc:subject/>
  <dc:title>NERC’s  Transition to Independence</dc:title>
</cp:coreProperties>
</file>