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December 6, 2001</w:t>
      </w:r>
    </w:p>
    <w:p>
      <w:pPr>
        <w:pStyle w:val="Normal"/>
        <w:rPr/>
      </w:pPr>
      <w:r>
        <w:rPr/>
      </w:r>
    </w:p>
    <w:p>
      <w:pPr>
        <w:pStyle w:val="Normal"/>
        <w:rPr/>
      </w:pPr>
      <w:r>
        <w:rPr/>
      </w:r>
    </w:p>
    <w:p>
      <w:pPr>
        <w:pStyle w:val="Normal"/>
        <w:rPr/>
      </w:pPr>
      <w:r>
        <w:rPr/>
      </w:r>
    </w:p>
    <w:p>
      <w:pPr>
        <w:pStyle w:val="Normal"/>
        <w:rPr/>
      </w:pPr>
      <w:r>
        <w:rPr/>
        <w:t>David T. Doot, Esq.</w:t>
      </w:r>
    </w:p>
    <w:p>
      <w:pPr>
        <w:pStyle w:val="Normal"/>
        <w:rPr/>
      </w:pPr>
      <w:r>
        <w:rPr/>
        <w:t>Day, Berry &amp; Howard LLP</w:t>
      </w:r>
    </w:p>
    <w:p>
      <w:pPr>
        <w:pStyle w:val="Normal"/>
        <w:rPr/>
      </w:pPr>
      <w:r>
        <w:rPr/>
        <w:t>CityPlace I</w:t>
      </w:r>
    </w:p>
    <w:p>
      <w:pPr>
        <w:pStyle w:val="Normal"/>
        <w:rPr/>
      </w:pPr>
      <w:r>
        <w:rPr/>
        <w:t>185 Asylum Street</w:t>
      </w:r>
    </w:p>
    <w:p>
      <w:pPr>
        <w:pStyle w:val="Normal"/>
        <w:rPr/>
      </w:pPr>
      <w:r>
        <w:rPr/>
        <w:t>Hartford, CT  06103-0343</w:t>
      </w:r>
    </w:p>
    <w:p>
      <w:pPr>
        <w:pStyle w:val="Normal"/>
        <w:rPr/>
      </w:pPr>
      <w:r>
        <w:rPr/>
      </w:r>
    </w:p>
    <w:p>
      <w:pPr>
        <w:pStyle w:val="Normal"/>
        <w:rPr/>
      </w:pPr>
      <w:r>
        <w:rPr/>
        <w:tab/>
        <w:t>Re:</w:t>
        <w:tab/>
        <w:t>NEPOOL Participants’ Committee Meeting</w:t>
      </w:r>
    </w:p>
    <w:p>
      <w:pPr>
        <w:pStyle w:val="Normal"/>
        <w:rPr/>
      </w:pPr>
      <w:r>
        <w:rPr/>
      </w:r>
    </w:p>
    <w:p>
      <w:pPr>
        <w:pStyle w:val="Normal"/>
        <w:rPr/>
      </w:pPr>
      <w:r>
        <w:rPr/>
        <w:t>Dear David:</w:t>
      </w:r>
    </w:p>
    <w:p>
      <w:pPr>
        <w:pStyle w:val="Normal"/>
        <w:rPr/>
      </w:pPr>
      <w:r>
        <w:rPr/>
      </w:r>
    </w:p>
    <w:p>
      <w:pPr>
        <w:pStyle w:val="Normal"/>
        <w:rPr/>
      </w:pPr>
      <w:r>
        <w:rPr/>
        <w:t>On behalf of Enron Power Marketing, Inc. and Enron Energy Services, Inc. (collectively “Enron”), I am writing to ask that you replace Daniel Allegretti as Enron’s NEPOOL representative and replace him with me, James Steffes, Vice President, Government Affairs, Enron Corp.</w:t>
      </w:r>
    </w:p>
    <w:p>
      <w:pPr>
        <w:pStyle w:val="Normal"/>
        <w:rPr/>
      </w:pPr>
      <w:r>
        <w:rPr/>
      </w:r>
    </w:p>
    <w:p>
      <w:pPr>
        <w:pStyle w:val="Normal"/>
        <w:rPr/>
      </w:pPr>
      <w:r>
        <w:rPr/>
        <w:t>Due to the continuing changes at Enron, I am unable to attend the December 7 meeting.  However, I am aware that the Committee is considering the impact of Enron’s recent bankruptcy filing on NEPOOL and what actions, if any, should be taken by the Pool in response to the filing.</w:t>
      </w:r>
    </w:p>
    <w:p>
      <w:pPr>
        <w:pStyle w:val="Normal"/>
        <w:rPr/>
      </w:pPr>
      <w:r>
        <w:rPr/>
      </w:r>
    </w:p>
    <w:p>
      <w:pPr>
        <w:pStyle w:val="Normal"/>
        <w:rPr/>
      </w:pPr>
      <w:r>
        <w:rPr/>
        <w:t>In discussing this situation, I ask that the members consider the following facts:</w:t>
      </w:r>
    </w:p>
    <w:p>
      <w:pPr>
        <w:pStyle w:val="Normal"/>
        <w:rPr/>
      </w:pPr>
      <w:r>
        <w:rPr/>
      </w:r>
    </w:p>
    <w:p>
      <w:pPr>
        <w:pStyle w:val="Normal"/>
        <w:ind w:hanging="720" w:start="720" w:end="0"/>
        <w:rPr/>
      </w:pPr>
      <w:r>
        <w:rPr/>
        <w:t>1.</w:t>
        <w:tab/>
        <w:t>Enron is not in violation of any NEPOOL rule or tariff provision.  Enron is current on its pool payments and, as far as I am aware, has not violated any other rule.</w:t>
      </w:r>
    </w:p>
    <w:p>
      <w:pPr>
        <w:pStyle w:val="Normal"/>
        <w:rPr/>
      </w:pPr>
      <w:r>
        <w:rPr/>
      </w:r>
    </w:p>
    <w:p>
      <w:pPr>
        <w:pStyle w:val="Normal"/>
        <w:ind w:hanging="720" w:start="720" w:end="0"/>
        <w:rPr/>
      </w:pPr>
      <w:r>
        <w:rPr/>
        <w:t>2.</w:t>
        <w:tab/>
        <w:t>Enron has significant collateral posted to NEPOOL.  I am in the process of verifying the exact amount of collateral, but I believe that we have bonds posted in excess of $80 million.  I will verify this amount as soon as I confirm it internally.</w:t>
      </w:r>
    </w:p>
    <w:p>
      <w:pPr>
        <w:pStyle w:val="Normal"/>
        <w:rPr/>
      </w:pPr>
      <w:r>
        <w:rPr/>
      </w:r>
    </w:p>
    <w:p>
      <w:pPr>
        <w:pStyle w:val="Normal"/>
        <w:ind w:hanging="720" w:start="720" w:end="0"/>
        <w:rPr/>
      </w:pPr>
      <w:r>
        <w:rPr/>
        <w:t>3.</w:t>
        <w:tab/>
        <w:t>If Enron were to default on its payments to NEPOOL, NEPOOL has the right to draw upon these bonds.  Therefore, even if Enron does not make its payments, NEPOOL will continue to receive payment for Enron’s debts.</w:t>
      </w:r>
    </w:p>
    <w:p>
      <w:pPr>
        <w:pStyle w:val="Normal"/>
        <w:ind w:hanging="720" w:start="720" w:end="0"/>
        <w:rPr/>
      </w:pPr>
      <w:r>
        <w:rPr/>
      </w:r>
    </w:p>
    <w:p>
      <w:pPr>
        <w:pStyle w:val="Normal"/>
        <w:rPr/>
      </w:pPr>
      <w:r>
        <w:rPr/>
        <w:t xml:space="preserve">A November 30 memorandum from Roger Bacon and Len Fowler recommends that a subcommittee be formed to take actions on behalf of the Participants’ Committee if Enron fails to meet its obligation to the pool.  If the members believe that creation of such a committee is necessary in order to provide the pool with the protection it needs, and if creation of this committee will forestall action by the Participants’ Committee to terminate Enron’s membership in the pool, then Enron would support creation of this committee.  </w:t>
      </w:r>
    </w:p>
    <w:p>
      <w:pPr>
        <w:pStyle w:val="Normal"/>
        <w:rPr/>
      </w:pPr>
      <w:r>
        <w:rPr/>
      </w:r>
    </w:p>
    <w:p>
      <w:pPr>
        <w:pStyle w:val="Normal"/>
        <w:rPr/>
      </w:pPr>
      <w:r>
        <w:rPr/>
        <w:t>Thank you for your consideration of these issues.  Please call me if you have any questions or comments concerning the foregoing.</w:t>
      </w:r>
    </w:p>
    <w:p>
      <w:pPr>
        <w:pStyle w:val="Normal"/>
        <w:rPr/>
      </w:pPr>
      <w:r>
        <w:rPr/>
      </w:r>
    </w:p>
    <w:p>
      <w:pPr>
        <w:pStyle w:val="Normal"/>
        <w:rPr/>
      </w:pPr>
      <w:r>
        <w:rPr/>
        <w:tab/>
        <w:tab/>
        <w:tab/>
        <w:tab/>
        <w:tab/>
        <w:tab/>
        <w:t>Very truly yours,</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James S. Steffes</w:t>
      </w:r>
    </w:p>
    <w:p>
      <w:pPr>
        <w:pStyle w:val="Normal"/>
        <w:rPr/>
      </w:pPr>
      <w:r>
        <w:rPr/>
        <w:tab/>
        <w:tab/>
        <w:tab/>
        <w:tab/>
        <w:tab/>
        <w:tab/>
        <w:t>Vice President</w:t>
      </w:r>
    </w:p>
    <w:p>
      <w:pPr>
        <w:pStyle w:val="Normal"/>
        <w:rPr/>
      </w:pPr>
      <w:r>
        <w:rPr/>
        <w:tab/>
        <w:tab/>
        <w:tab/>
        <w:tab/>
        <w:tab/>
        <w:tab/>
        <w:t>Enron Corp.</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2001-12-06T19:43:00Z</dcterms:created>
  <dc:creator>snovose</dc:creator>
  <dc:description/>
  <dc:language>en-CA</dc:language>
  <cp:lastModifiedBy>snovose</cp:lastModifiedBy>
  <dcterms:modified xsi:type="dcterms:W3CDTF">2001-12-06T21:17:00Z</dcterms:modified>
  <cp:revision>1</cp:revision>
  <dc:subject/>
  <dc:title/>
</cp:coreProperties>
</file>