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30"/>
        </w:rPr>
      </w:pPr>
      <w:r>
        <w:rPr>
          <w:b/>
          <w:sz w:val="30"/>
        </w:rPr>
      </w:r>
    </w:p>
    <w:p>
      <w:pPr>
        <w:pStyle w:val="Normal"/>
        <w:widowControl/>
        <w:jc w:val="center"/>
        <w:rPr>
          <w:b/>
          <w:sz w:val="30"/>
        </w:rPr>
      </w:pPr>
      <w:r>
        <w:rPr>
          <w:b/>
          <w:sz w:val="30"/>
        </w:rPr>
      </w:r>
    </w:p>
    <w:p>
      <w:pPr>
        <w:pStyle w:val="Normal"/>
        <w:widowControl/>
        <w:jc w:val="center"/>
        <w:rPr>
          <w:b/>
          <w:sz w:val="30"/>
        </w:rPr>
      </w:pPr>
      <w:r>
        <w:rPr>
          <w:b/>
          <w:sz w:val="30"/>
        </w:rPr>
      </w:r>
    </w:p>
    <w:p>
      <w:pPr>
        <w:pStyle w:val="Normal"/>
        <w:widowControl/>
        <w:jc w:val="center"/>
        <w:rPr>
          <w:b/>
          <w:sz w:val="30"/>
        </w:rPr>
      </w:pPr>
      <w:r>
        <w:rPr>
          <w:b/>
          <w:sz w:val="30"/>
        </w:rPr>
        <w:t>UNITED STATES OF AMERICA</w:t>
      </w:r>
    </w:p>
    <w:p>
      <w:pPr>
        <w:pStyle w:val="Normal"/>
        <w:widowControl/>
        <w:jc w:val="center"/>
        <w:rPr>
          <w:b/>
          <w:sz w:val="30"/>
        </w:rPr>
      </w:pPr>
      <w:r>
        <w:rPr>
          <w:b/>
          <w:sz w:val="30"/>
        </w:rPr>
        <w:t>BEFORE THE</w:t>
      </w:r>
    </w:p>
    <w:p>
      <w:pPr>
        <w:pStyle w:val="Normal"/>
        <w:widowControl/>
        <w:jc w:val="center"/>
        <w:rPr>
          <w:sz w:val="28"/>
        </w:rPr>
      </w:pPr>
      <w:r>
        <w:rPr>
          <w:b/>
          <w:sz w:val="30"/>
        </w:rPr>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8"/>
        </w:rPr>
      </w:pPr>
      <w:r>
        <w:rPr>
          <w:sz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480" w:start="6480" w:end="0"/>
        <w:rPr/>
      </w:pPr>
      <w:r>
        <w:rPr/>
        <w:t>ISO New England</w:t>
        <w:tab/>
        <w:tab/>
        <w:tab/>
        <w:tab/>
        <w:t>)</w:t>
        <w:tab/>
        <w:t>Docket Nos.</w:t>
        <w:tab/>
        <w:t>EL00-62-000 and</w:t>
      </w:r>
    </w:p>
    <w:p>
      <w:pPr>
        <w:pStyle w:val="Normal"/>
        <w:widowControl/>
        <w:tabs>
          <w:tab w:val="clear" w:pos="720"/>
          <w:tab w:val="left" w:pos="5760" w:leader="none"/>
          <w:tab w:val="left" w:pos="6480" w:leader="none"/>
          <w:tab w:val="left" w:pos="7200" w:leader="none"/>
          <w:tab w:val="left" w:pos="7920" w:leader="none"/>
          <w:tab w:val="left" w:pos="8640" w:leader="none"/>
          <w:tab w:val="left" w:pos="9360" w:leader="none"/>
        </w:tabs>
        <w:ind w:hanging="1440" w:start="5760" w:end="0"/>
        <w:rPr/>
      </w:pPr>
      <w:r>
        <w:rPr/>
        <w:t>)</w:t>
        <w:tab/>
        <w:tab/>
        <w:t>ER00-2052-000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480" w:start="6480" w:end="0"/>
        <w:rPr/>
      </w:pPr>
      <w:r>
        <w:rPr/>
        <w:t>New England Power Pool</w:t>
        <w:tab/>
        <w:t>)</w:t>
        <w:tab/>
        <w:t>Docket No.</w:t>
        <w:tab/>
        <w:t>ER00-2016-000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Central Maine Power Company</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rPr/>
      </w:pPr>
      <w:r>
        <w:rPr/>
        <w:t>Northeast Utilities Service Company</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rPr/>
      </w:pPr>
      <w:r>
        <w:rPr/>
        <w:t>The United Illuminating Company</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Unitil Power Corp. and Fitchburg Gas</w:t>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rPr/>
      </w:pPr>
      <w:r>
        <w:rPr/>
        <w:t xml:space="preserve">   </w:t>
      </w:r>
      <w:r>
        <w:rPr/>
        <w:t>and Electric Light Company</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Vermont Electric Power Company, Inc.</w:t>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6480" w:end="0"/>
        <w:rPr/>
      </w:pPr>
      <w:r>
        <w:rPr/>
        <w:t>)</w:t>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480" w:start="6480" w:end="0"/>
        <w:rPr/>
      </w:pPr>
      <w:r>
        <w:rPr/>
        <w:t>New England Power Pool and</w:t>
        <w:tab/>
        <w:t>)</w:t>
        <w:tab/>
        <w:t>Docket Nos.</w:t>
        <w:tab/>
        <w:t>EL00-59-000 and</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480" w:start="6480" w:end="0"/>
        <w:rPr/>
      </w:pPr>
      <w:r>
        <w:rPr/>
        <w:t>ISO New England Inc.</w:t>
        <w:tab/>
        <w:t>)</w:t>
        <w:tab/>
        <w:t xml:space="preserve">        </w:t>
        <w:tab/>
        <w:tab/>
        <w:t>ER00-2005-000</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5760" w:end="0"/>
        <w:rPr/>
      </w:pPr>
      <w:r>
        <w:rPr/>
        <w:t>)</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5760" w:end="0"/>
        <w:rPr/>
      </w:pP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rPr/>
      </w:pPr>
      <w:r>
        <w:rPr/>
        <w:t>____________________________________)</w:t>
        <w:tab/>
        <w:t>(not consolidated)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 xml:space="preserve">MOTION TO INTERVENE,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 xml:space="preserve">PROTEST AND ANSWER IN PART OF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 xml:space="preserve">ENRON POWER MARKETING, INC.,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 xml:space="preserve">STRATEGIC ENERGY L.L.C.,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 xml:space="preserve">ALTERNATE POWER SOURCE, INC. AND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8"/>
        </w:rPr>
      </w:pPr>
      <w:r>
        <w:rPr>
          <w:b/>
          <w:sz w:val="28"/>
        </w:rPr>
        <w:t>TRANSCANADA POWER MARKETING LTD.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rPr>
      </w:pPr>
      <w:r>
        <w:rPr>
          <w:sz w:val="28"/>
        </w:rPr>
      </w:r>
    </w:p>
    <w:p>
      <w:pPr>
        <w:sectPr>
          <w:type w:val="nextPage"/>
          <w:pgSz w:w="12240" w:h="15840"/>
          <w:pgMar w:left="1440" w:right="1440" w:gutter="0" w:header="0" w:top="720" w:footer="0" w:bottom="7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Pursuant to 18 C.F.R. </w:t>
      </w:r>
      <w:r>
        <w:rPr>
          <w:rFonts w:cs="WP TypographicSymbols" w:ascii="WP TypographicSymbols" w:hAnsi="WP TypographicSymbols"/>
        </w:rPr>
        <w:t>''</w:t>
      </w:r>
      <w:r>
        <w:rPr/>
        <w:t> 385.211, 385.213, and 385.214 (1999), the Commission's April 5, 2000, Notice of Filing, and the Commission's April 21, 2000, Notice of Extension of Time, Enron Power Marketing, Inc. ("EPMI"), Strategic Energy L.L.C. ("SEL"), Alternate Power Source, Inc. ("APS"), and TransCanada Power Marketing Ltd. ("TCPM")(collectively, "Joint Intervenors") hereby move to intervene, protest and answer in part in the above-captioned dockets.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I.</w:t>
      </w:r>
    </w:p>
    <w:p>
      <w:pPr>
        <w:pStyle w:val="Heading1"/>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pPr>
      <w:r>
        <w:rPr/>
        <w:t>EXECUTIVE SUMMARY</w:t>
      </w:r>
    </w:p>
    <w:p>
      <w:pPr>
        <w:pStyle w:val="Heading1"/>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pPr>
      <w:r>
        <w:fldChar w:fldCharType="begin"/>
      </w:r>
      <w:r>
        <w:rPr/>
        <w:instrText xml:space="preserve"> TC "EXECUTIVE SUMMARY"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8"/>
        </w:rPr>
      </w:pPr>
      <w:r>
        <w:rPr>
          <w:sz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Fundamentally, we endorse the proposal filed by the ISO New England ("ISO-NE") in Docket Nos. EL00-62-000,</w:t>
      </w:r>
      <w:r>
        <w:rPr>
          <w:i/>
        </w:rPr>
        <w:t xml:space="preserve"> et al.</w:t>
      </w:r>
      <w:r>
        <w:rPr>
          <w:rStyle w:val="FootnoteCharacters"/>
          <w:rStyle w:val="FootnoteReference"/>
          <w:vertAlign w:val="superscript"/>
        </w:rPr>
        <w:footnoteReference w:id="2"/>
      </w:r>
      <w:r>
        <w:rPr>
          <w:i/>
        </w:rPr>
        <w:t xml:space="preserve"> </w:t>
      </w:r>
      <w:r>
        <w:rPr/>
        <w:t xml:space="preserve"> In that filing, the ISO-NE proposes to implement a comprehensive congestion management and multi-settlement program that, when fully implemented, will bring much needed coherence to the New England power markets.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We do, however, take sharp issue with the ISO-NE's proposal to unnecessarily delay the full implementation of this relief in two respects.  First, the ISO-NE's proposal to continue the Installed Capability ("ICAP") obligation until January 1, 2002, is unjustified and harmful to the market and market participants.  While we agree with the ISO-NE that the ICAP market should be eliminated </w:t>
      </w:r>
      <w:r>
        <w:rPr>
          <w:rFonts w:cs="WP TypographicSymbols" w:ascii="WP TypographicSymbols" w:hAnsi="WP TypographicSymbols"/>
        </w:rPr>
        <w:t>B</w:t>
      </w:r>
      <w:r>
        <w:rPr/>
        <w:t xml:space="preserve"> for the sound reasons it puts forward </w:t>
      </w:r>
      <w:r>
        <w:rPr>
          <w:rFonts w:cs="WP TypographicSymbols" w:ascii="WP TypographicSymbols" w:hAnsi="WP TypographicSymbols"/>
        </w:rPr>
        <w:t>B</w:t>
      </w:r>
      <w:r>
        <w:rPr/>
        <w:t xml:space="preserve"> we disagree with its decision to delay that relief.  Instead, we agree with the ISO-NE's own experts (Professors Peter Cramton of the University of Maryland and Robert Wilson of Stanford University) and with state regulators, that the need to eliminate ICAP is urgent and should not be deferred.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Similarly, while we agree with the ISO-NE about the need to eliminate the In-Service requirement of Section 22A of NEPOOL's Tariff, we disagree that this elimination should be delayed until the Spring of 2002.  The In-Service provision is presently causing hoarding in New England and there is no reason why it should not be eliminated at this time.   </w:t>
      </w:r>
    </w:p>
    <w:p>
      <w:pPr>
        <w:sectPr>
          <w:headerReference w:type="default" r:id="rId2"/>
          <w:footnotePr>
            <w:numFmt w:val="decimal"/>
          </w:footnotePr>
          <w:type w:val="nextPage"/>
          <w:pgSz w:w="12240" w:h="15840"/>
          <w:pgMar w:left="1440" w:right="1440" w:gutter="0" w:header="720" w:top="776" w:footer="0" w:bottom="1008"/>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The Commission should also reject the Indicated Utilities'</w:t>
      </w:r>
      <w:r>
        <w:rPr>
          <w:rStyle w:val="FootnoteCharacters"/>
          <w:rStyle w:val="FootnoteReference"/>
          <w:vertAlign w:val="superscript"/>
        </w:rPr>
        <w:footnoteReference w:id="3"/>
      </w:r>
      <w:r>
        <w:rPr/>
        <w:t xml:space="preserve"> proposal to allocate near-term or interim congestion costs locally to those parties with energy responsibility associated with load.  This request is fundamentally flawed because it inappropriately shifts cost responsibility to parties least able to control such costs through physical action, without coupling that obligation with a viable financial instrument to hedge such exposure, namely, Financial Congestion Rights ("FCR").  By failing to provide FCRs as part of its proposal, the Indicated Utilities ignore this essential component of the end-state Congestion Management System ("CMS") program, and wrongly contend that it would be unfair to socialize these costs to network load.  We will show, in fact, that socialization of these costs is precisely how these costs should be handled until the essential element of FCR allocation and fully and properly functioning locational energy pricing  are in place.</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The Supporting Generators,</w:t>
      </w:r>
      <w:r>
        <w:rPr>
          <w:rStyle w:val="FootnoteCharacters"/>
          <w:rStyle w:val="FootnoteReference"/>
          <w:vertAlign w:val="superscript"/>
        </w:rPr>
        <w:footnoteReference w:id="4"/>
      </w:r>
      <w:r>
        <w:rPr/>
        <w:t xml:space="preserve"> for their part, make several proposals that are entirely unjustified.  Not only do they contend that the ICAP obligation should be maintained indefinitely, but they also argue that they should share in the revenues that will be produced by the auction of FCRs.  This claim is based on the fact that they purportedly relied upon the existence of the "full integration standard" at the time they purchased their generation, which was a policy that was designed to grandfather the locational status of their plants and impose all congestion costs in New England on future, more efficient generation.  Although the Commission never approved the full integration standard, and in fact explicitly repudiated it, the Supporting Generators contend that they should nevertheless be compensated </w:t>
      </w:r>
      <w:r>
        <w:rPr>
          <w:rFonts w:cs="WP TypographicSymbols" w:ascii="WP TypographicSymbols" w:hAnsi="WP TypographicSymbols"/>
        </w:rPr>
        <w:t>B</w:t>
      </w:r>
      <w:r>
        <w:rPr/>
        <w:t xml:space="preserve"> by sharing in the FCR revenues </w:t>
      </w:r>
      <w:r>
        <w:rPr>
          <w:rFonts w:cs="WP TypographicSymbols" w:ascii="WP TypographicSymbols" w:hAnsi="WP TypographicSymbols"/>
        </w:rPr>
        <w:t>B</w:t>
      </w:r>
      <w:r>
        <w:rPr/>
        <w:t xml:space="preserve"> for business decisions made at the time the policy was pending.  The Supporting Generators' contention that they are entitled to the proposed benefits of the full integration standard, notwithstanding its repudiation, would effectively result in an approval of that standard </w:t>
      </w:r>
      <w:r>
        <w:rPr>
          <w:i/>
        </w:rPr>
        <w:t xml:space="preserve">nunc pro tunc </w:t>
      </w:r>
      <w:r>
        <w:rPr/>
        <w:t xml:space="preserve">and perpetuate its existence </w:t>
      </w:r>
      <w:r>
        <w:rPr>
          <w:i/>
        </w:rPr>
        <w:t>ad infinitum.</w:t>
      </w:r>
      <w:r>
        <w:rPr/>
        <w:t xml:space="preserve">  In light of the obvious perversity of this proposal, this contention has already been rejected by both the Commission and the United States District Court.  </w:t>
      </w:r>
      <w:r>
        <w:rPr>
          <w:i/>
        </w:rPr>
        <w:t>New England Power Pool</w:t>
      </w:r>
      <w:r>
        <w:rPr/>
        <w:t xml:space="preserve">, 85 F.E.R.C. </w:t>
      </w:r>
      <w:r>
        <w:rPr>
          <w:rFonts w:cs="WP TypographicSymbols" w:ascii="WP TypographicSymbols" w:hAnsi="WP TypographicSymbols"/>
        </w:rPr>
        <w:t>&amp;</w:t>
      </w:r>
      <w:r>
        <w:rPr/>
        <w:t> 61,141 at 61,550-52 (1998);</w:t>
      </w:r>
      <w:r>
        <w:rPr>
          <w:i/>
        </w:rPr>
        <w:t xml:space="preserve"> FPL Energy Maine, Inc. v. Central Maine Power Company</w:t>
      </w:r>
      <w:r>
        <w:rPr/>
        <w:t xml:space="preserve">, 1999 U.S. Dist. LEXIS 3731 (SD NY 1999).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Nor is there any sound policy reason why the Supporting Generators should receive any of the FCR revenues.  Allocating a portion of the FCR revenues to the Supporting Generators will allow inefficient generators that would not otherwise survive in an unsubsidized market to stay in business.  This will create a highly inefficient market structure, will increase costs to the consumer, and will cause resources to be allocated inefficiently.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Contrary to the proposal of the Supporting Generators, an efficient market is one that allocates all of the FCR revenues to the entities that serve load, as proposed by the ISO-NE given that the load serving entities are the parties that are responsible for the congestion costs that the FCRs are intended to hedge.  It is obviously much more economically efficient to couple the congestion costs with FCRs that are specifically designed to hedge those costs.  Only in this fashion will the responsible parties </w:t>
      </w:r>
      <w:r>
        <w:rPr>
          <w:rFonts w:cs="WP TypographicSymbols" w:ascii="WP TypographicSymbols" w:hAnsi="WP TypographicSymbols"/>
        </w:rPr>
        <w:t>B</w:t>
      </w:r>
      <w:r>
        <w:rPr/>
        <w:t xml:space="preserve"> the load serving entities </w:t>
      </w:r>
      <w:r>
        <w:rPr>
          <w:rFonts w:cs="WP TypographicSymbols" w:ascii="WP TypographicSymbols" w:hAnsi="WP TypographicSymbols"/>
        </w:rPr>
        <w:t>B</w:t>
      </w:r>
      <w:r>
        <w:rPr/>
        <w:t xml:space="preserve"> be able to make informed decisions in the first instance as to whether to engage in transactions that would give rise to congestion.  Allocating the FCRs entirely to the load serving entities is also equitable given that the load serving entities are the parties that are at risk for the cost of congestion. </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6"/>
        </w:rPr>
        <w:tab/>
      </w:r>
      <w:r>
        <w:rPr>
          <w:b/>
          <w:sz w:val="28"/>
        </w:rPr>
        <w:t>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Communications and correspondence regarding this proceeding should be directed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i/>
          <w:i/>
        </w:rPr>
      </w:pPr>
      <w:r>
        <w:rPr>
          <w:i/>
        </w:rPr>
        <w:t>For Enron Power Marketing, Inc.:</w:t>
        <w:tab/>
        <w:tab/>
        <w:tab/>
        <w:t>For Enron Power Marketing, Inc.:</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7200" w:start="7200" w:end="0"/>
        <w:jc w:val="both"/>
        <w:rPr/>
      </w:pPr>
      <w:r>
        <w:rPr/>
        <w:t>Sarah G. Novosel</w:t>
        <w:tab/>
        <w:tab/>
        <w:tab/>
        <w:tab/>
        <w:tab/>
        <w:t>Christi L. Nicolay</w:t>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Director, Federal Regulatory Affairs</w:t>
        <w:tab/>
        <w:tab/>
        <w:tab/>
        <w:t>Director of Federal Regulatory Affairs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Enron Corp.</w:t>
        <w:tab/>
        <w:tab/>
        <w:tab/>
        <w:tab/>
        <w:tab/>
        <w:tab/>
        <w:t>Power Trading Group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1775 Eye Street, N.W., Suite 800</w:t>
        <w:tab/>
        <w:tab/>
        <w:tab/>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Washington, D.C.   20006-4607</w:t>
        <w:tab/>
        <w:tab/>
        <w:tab/>
        <w:t>1400 Smith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(202) 466-9160 (voice)</w:t>
        <w:tab/>
        <w:tab/>
        <w:tab/>
        <w:tab/>
        <w:t>Houston, Texas   77002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4320" w:start="4320" w:end="0"/>
        <w:jc w:val="both"/>
        <w:rPr/>
      </w:pPr>
      <w:r>
        <w:rPr/>
        <w:t>(202) 955-8496 (fax)</w:t>
        <w:tab/>
        <w:tab/>
        <w:tab/>
        <w:tab/>
        <w:tab/>
        <w:t>(713) 853-7007 (voice)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sz w:val="20"/>
        </w:rPr>
        <w:t>snovose@enron.com</w:t>
      </w:r>
      <w:r>
        <w:rPr/>
        <w:tab/>
        <w:tab/>
        <w:tab/>
        <w:tab/>
        <w:tab/>
        <w:t>(713) 646-8160 (fax)</w:t>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firstLine="5040" w:end="0"/>
        <w:jc w:val="both"/>
        <w:rPr>
          <w:sz w:val="20"/>
        </w:rPr>
      </w:pPr>
      <w:r>
        <w:rPr>
          <w:sz w:val="20"/>
        </w:rPr>
        <w:t>Christi.L.Nicolay@enron.com</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i/>
          <w:i/>
        </w:rPr>
      </w:pPr>
      <w:r>
        <w:rPr>
          <w:i/>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i/>
          <w:i/>
        </w:rPr>
      </w:pPr>
      <w:r>
        <w:rPr>
          <w:i/>
        </w:rPr>
        <w:t>For TransCanada Power Marketing Ltd.:</w:t>
        <w:tab/>
        <w:tab/>
        <w:t>For TransCanada Power Marketing Ltd.: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Kristine Delkus</w:t>
        <w:tab/>
        <w:tab/>
        <w:tab/>
        <w:tab/>
        <w:tab/>
        <w:t>Bill Taylor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TransCanada PipeLines Limited</w:t>
        <w:tab/>
        <w:tab/>
        <w:tab/>
        <w:t>Vice President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PO Box 1000, Station "M"</w:t>
        <w:tab/>
        <w:tab/>
        <w:tab/>
        <w:tab/>
        <w:t>TransCanada Power Marketing Ltd.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2880" w:start="2880" w:end="0"/>
        <w:jc w:val="both"/>
        <w:rPr/>
      </w:pPr>
      <w:r>
        <w:rPr/>
        <w:t>Calgary, Alberta</w:t>
        <w:tab/>
        <w:tab/>
        <w:tab/>
        <w:tab/>
        <w:tab/>
        <w:t>110 Turnpike Road, Suite 203</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Canada, T2P 4K5</w:t>
        <w:tab/>
        <w:t xml:space="preserve"> </w:t>
        <w:tab/>
        <w:tab/>
        <w:tab/>
        <w:tab/>
        <w:t>Westborough, MA   01581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Tel:</w:t>
        <w:tab/>
        <w:t>(403) 290-7460</w:t>
        <w:tab/>
        <w:tab/>
        <w:tab/>
        <w:tab/>
        <w:t>Tel:     (508) 871-1855</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Fax:</w:t>
        <w:tab/>
        <w:t>(430) 290-7679</w:t>
        <w:tab/>
        <w:tab/>
        <w:tab/>
        <w:tab/>
        <w:t>Fax:    (508) 898 0433</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8640" w:start="8640" w:end="0"/>
        <w:jc w:val="both"/>
        <w:rPr/>
      </w:pPr>
      <w:r>
        <w:rPr>
          <w:sz w:val="20"/>
        </w:rPr>
        <w:t>kristine_delkus@transcanada.com</w:t>
      </w:r>
      <w:r>
        <w:rPr>
          <w:sz w:val="23"/>
        </w:rPr>
        <w:tab/>
        <w:tab/>
        <w:tab/>
        <w:tab/>
      </w:r>
      <w:r>
        <w:rPr>
          <w:sz w:val="20"/>
        </w:rPr>
        <w:t>bill_taylor@transcanada.com</w:t>
      </w:r>
      <w:r>
        <w:rPr>
          <w:sz w:val="23"/>
        </w:rPr>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firstLine="720" w:end="0"/>
        <w:jc w:val="both"/>
        <w:rPr>
          <w:sz w:val="23"/>
        </w:rPr>
      </w:pPr>
      <w:r>
        <w:rPr>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i/>
          <w:i/>
          <w:sz w:val="23"/>
        </w:rPr>
      </w:pPr>
      <w:r>
        <w:rPr>
          <w:i/>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sz w:val="23"/>
        </w:rPr>
      </w:pPr>
      <w:r>
        <w:rPr>
          <w:i/>
          <w:sz w:val="23"/>
        </w:rPr>
        <w:t>For Strategic Energy L.L.C.:</w:t>
      </w:r>
      <w:r>
        <w:rPr>
          <w:sz w:val="23"/>
        </w:rPr>
        <w:tab/>
        <w:tab/>
        <w:tab/>
        <w:tab/>
      </w:r>
      <w:r>
        <w:rPr>
          <w:i/>
        </w:rPr>
        <w:t>For Joint Intervenors: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sz w:val="23"/>
        </w:rPr>
      </w:pPr>
      <w:r>
        <w:rPr/>
        <w:t>Wanda M. Schiller</w:t>
        <w:tab/>
      </w:r>
      <w:r>
        <w:rPr>
          <w:sz w:val="23"/>
        </w:rPr>
        <w:tab/>
        <w:tab/>
        <w:tab/>
        <w:tab/>
      </w:r>
      <w:r>
        <w:rPr/>
        <w:t>Jeffrey D. Watkiss</w:t>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Attorney</w:t>
        <w:tab/>
        <w:tab/>
        <w:tab/>
        <w:tab/>
        <w:tab/>
        <w:tab/>
        <w:t>Ronald N. Carroll</w:t>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sz w:val="23"/>
        </w:rPr>
      </w:pPr>
      <w:r>
        <w:rPr/>
        <w:t>Strategic Energy L.L.C.</w:t>
        <w:tab/>
        <w:tab/>
        <w:tab/>
        <w:tab/>
        <w:t>Bracewell &amp; Patterson, L.L.P.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sz w:val="23"/>
        </w:rPr>
      </w:pPr>
      <w:r>
        <w:rPr/>
        <w:t>Two Gateway Center</w:t>
        <w:tab/>
      </w:r>
      <w:r>
        <w:rPr>
          <w:sz w:val="23"/>
        </w:rPr>
        <w:tab/>
        <w:tab/>
        <w:tab/>
        <w:tab/>
      </w:r>
      <w:r>
        <w:rPr>
          <w:sz w:val="16"/>
        </w:rPr>
        <w:t>A Registered Limited Liability Partnership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Pittsburgh, PA  15222</w:t>
        <w:tab/>
        <w:tab/>
        <w:tab/>
        <w:tab/>
        <w:tab/>
        <w:t>2000 K Street, N.W., Suite 500</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t>Tel:</w:t>
        <w:tab/>
        <w:t>(412) 394-5618</w:t>
        <w:tab/>
        <w:tab/>
        <w:tab/>
        <w:tab/>
        <w:t>Washington, D.C.   20006-1872</w:t>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sz w:val="23"/>
        </w:rPr>
      </w:pPr>
      <w:r>
        <w:rPr/>
        <w:t>Fax:</w:t>
        <w:tab/>
        <w:t>(412) 394-6576</w:t>
      </w:r>
      <w:r>
        <w:rPr>
          <w:sz w:val="23"/>
        </w:rPr>
        <w:tab/>
        <w:tab/>
        <w:tab/>
        <w:tab/>
      </w:r>
      <w:r>
        <w:rPr/>
        <w:t>(202) 828-5800 (voice)</w:t>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hanging="5040" w:start="5040" w:end="0"/>
        <w:jc w:val="both"/>
        <w:rPr/>
      </w:pPr>
      <w:r>
        <w:rPr>
          <w:sz w:val="20"/>
        </w:rPr>
        <w:t>wschiller@sel.com</w:t>
      </w:r>
      <w:r>
        <w:rPr/>
        <w:tab/>
        <w:tab/>
        <w:tab/>
        <w:tab/>
        <w:tab/>
        <w:t>(202) 223-1225 (fax)</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start="5040" w:end="0"/>
        <w:jc w:val="both"/>
        <w:rPr/>
      </w:pPr>
      <w:r>
        <w:rPr>
          <w:sz w:val="20"/>
        </w:rPr>
        <w:t>dwatkiss@bracepatt.com</w:t>
      </w:r>
      <w:r>
        <w:rPr>
          <w:sz w:val="23"/>
        </w:rPr>
        <w:tab/>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ind w:firstLine="5040" w:end="0"/>
        <w:jc w:val="both"/>
        <w:rPr>
          <w:sz w:val="20"/>
        </w:rPr>
      </w:pPr>
      <w:r>
        <w:rPr>
          <w:sz w:val="20"/>
        </w:rPr>
        <w:t>rcarroll@bracepatt.com</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i/>
          <w:i/>
        </w:rPr>
      </w:pPr>
      <w:r>
        <w:rPr>
          <w:i/>
        </w:rPr>
        <w:t>For Alternate Power Source: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Steven Tuleja</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President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400 Blue Hill Drive, Suite 188</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Westwood, MA   02090</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(781) 320-9737</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t>(781) 320-8904 (fax)</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sz w:val="20"/>
        </w:rPr>
      </w:pPr>
      <w:r>
        <w:rPr>
          <w:sz w:val="20"/>
        </w:rPr>
        <w:t>stuleja@alternatepower.com</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1"/>
        <w:jc w:val="center"/>
        <w:rPr>
          <w:b/>
          <w:sz w:val="28"/>
        </w:rPr>
      </w:pPr>
      <w:r>
        <w:rPr>
          <w:b/>
          <w:sz w:val="28"/>
        </w:rPr>
        <w:t>III.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b/>
          <w:sz w:val="28"/>
        </w:rPr>
      </w:pPr>
      <w:r>
        <w:rPr>
          <w:b/>
          <w:sz w:val="28"/>
        </w:rPr>
        <w:tab/>
        <w:t>INTERVENORS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EPMI is an affiliate of Enron North America Corp.("ENA")</w:t>
      </w:r>
      <w:r>
        <w:rPr>
          <w:rStyle w:val="FootnoteCharacters"/>
          <w:rStyle w:val="FootnoteReference"/>
          <w:vertAlign w:val="superscript"/>
        </w:rPr>
        <w:footnoteReference w:id="5"/>
      </w:r>
      <w:r>
        <w:rPr/>
        <w:t xml:space="preserve">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w:t>
      </w:r>
      <w:r>
        <w:rPr>
          <w:rFonts w:cs="WP TypographicSymbols" w:ascii="WP TypographicSymbols" w:hAnsi="WP TypographicSymbols"/>
        </w:rPr>
        <w:t>&amp;</w:t>
      </w:r>
      <w:r>
        <w:rPr/>
        <w:t xml:space="preserve"> 61,305, </w:t>
      </w:r>
      <w:r>
        <w:rPr>
          <w:i/>
        </w:rPr>
        <w:t>order on reh</w:t>
      </w:r>
      <w:r>
        <w:rPr>
          <w:rFonts w:cs="WP TypographicSymbols" w:ascii="WP TypographicSymbols" w:hAnsi="WP TypographicSymbols"/>
          <w:i/>
        </w:rPr>
        <w:t>=</w:t>
      </w:r>
      <w:r>
        <w:rPr>
          <w:i/>
        </w:rPr>
        <w:t>g</w:t>
      </w:r>
      <w:r>
        <w:rPr/>
        <w:t xml:space="preserve">, 66 F.E.R.C. </w:t>
      </w:r>
      <w:r>
        <w:rPr>
          <w:rFonts w:cs="WP TypographicSymbols" w:ascii="WP TypographicSymbols" w:hAnsi="WP TypographicSymbols"/>
        </w:rPr>
        <w:t>&amp;</w:t>
      </w:r>
      <w:r>
        <w:rPr/>
        <w:t xml:space="preserve"> 61,244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Strategic Energy functions as a power marketer pursuant to a Commission order issued November, 13, 1996 (Docket No. ER96-3107-0000).  Strategic Energy is a Delaware limited liability company with its principal place of business in Pittsburgh, Pennsylvania.  SEL has business interests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 xml:space="preserve">in NEPOOL and is authorized as a retail electric supplier in the states of Pennsylvania, New Jersey, Delaware, Rhode Island, Massachusetts, New Hampshire and New York.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TCPM is a Delaware corporation with its principal place of business in Westborough, Massachusetts.  TCPM is a member of NEPOOL and is active in the purchase and sale of wholesale bulk power within the region.  TCPM is presently a wholesale supplier of backstop standard offer supply to certain load serving entities within New England and owns supply under long-term contract.</w:t>
      </w:r>
    </w:p>
    <w:p>
      <w:pPr>
        <w:sectPr>
          <w:headerReference w:type="default" r:id="rId3"/>
          <w:footnotePr>
            <w:numFmt w:val="decimal"/>
          </w:footnotePr>
          <w:type w:val="nextPage"/>
          <w:pgSz w:w="12240" w:h="15840"/>
          <w:pgMar w:left="1440" w:right="1440" w:gutter="0" w:header="720" w:top="776" w:footer="0" w:bottom="1008"/>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APS is a retail electric supplier that provides electric supply to its clients in New England.  APS is a licensed electrical power supplier and broker in several New England states and approved by the Commission as a wholesale electric marketer.  </w:t>
      </w:r>
      <w:r>
        <w:rPr>
          <w:sz w:val="28"/>
        </w:rPr>
        <w:tab/>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8"/>
        </w:rPr>
        <w:tab/>
      </w:r>
      <w:r>
        <w:rPr>
          <w:b/>
          <w:sz w:val="28"/>
        </w:rPr>
        <w:t>IV.</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THE FILINGS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This proceeding concerns the following three interrelated filings: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rPr>
        <w:t xml:space="preserve">ISO New England's Filing </w:t>
      </w:r>
      <w:r>
        <w:rPr/>
        <w:t xml:space="preserve">(Docket Nos. EL00-62-000 and ER00-2052-000) </w:t>
      </w:r>
      <w:r>
        <w:rPr>
          <w:rFonts w:cs="WP TypographicSymbols" w:ascii="WP TypographicSymbols" w:hAnsi="WP TypographicSymbols"/>
        </w:rPr>
        <w:t>B</w:t>
      </w:r>
      <w:r>
        <w:rPr/>
        <w:t xml:space="preserve"> On March 31, 2000, as amended on April 3, 2000, ISO-NE proposed amendments to NEPOOL Open-Access Transmission Tariff ("OATT") and the Restated NEPOOL Agreement ("RNA") intended to (1) implement a comprehensive Congestion Management System ("CMS") and a Multi-Settlement System ("MSS"), and associated arrangements, for New England, and (2) eliminate the long-discredited ICAP obligation of load serving entities effective December 31, 2001.  The ISO-NE's filing contains market reforms that are supported by the majority of NEPOOL Participants.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rPr>
        <w:t xml:space="preserve">New England Power Pool Filing &amp; Supporting Generators' Filing </w:t>
      </w:r>
      <w:r>
        <w:rPr/>
        <w:t xml:space="preserve">(Docket No. ER00-2016-000) </w:t>
      </w:r>
      <w:r>
        <w:rPr>
          <w:rFonts w:cs="WP TypographicSymbols" w:ascii="WP TypographicSymbols" w:hAnsi="WP TypographicSymbols"/>
        </w:rPr>
        <w:t>B</w:t>
      </w:r>
      <w:r>
        <w:rPr/>
        <w:t xml:space="preserve"> On March 30, 2000, PG&amp;E Generating, USGen New England, Inc., PG&amp;E Energy Trading-Power L.P., FPL Energy, LLC, Sithe New England Holdings, LLC, Southern Energy New England, LLC, Wisvest-Connecticut, LLC, Duke Energy North America, LLC, Dighton Power Associates L.P., Tiverton Power Associates, L.P., Rumford Associates, L.P., Great Bay Power Corporation, NRG Power Marketing, Inc., Somerset Power, LLC, Middletown Power, LLC, Norwalk Harbor Power, LLC, Devon Power, LLC, Montville Power, LLC, Connecticut Jet Power, LLC, and Indeck-Pepperell Power Associates, Inc., (the "Supporting Generators") filed an alternative proposal for implementation of a CMS and MSS.  The Supporting Generators would retain the ICAP market and add to it a requirement that ICAP be deliverable.  In addition, the Supporting Generators request, among other things, that FCR revenues be allocated between generators and load.</w:t>
      </w:r>
    </w:p>
    <w:p>
      <w:pPr>
        <w:sectPr>
          <w:headerReference w:type="default" r:id="rId4"/>
          <w:headerReference w:type="first" r:id="rId5"/>
          <w:footnotePr>
            <w:numFmt w:val="decimal"/>
          </w:footnotePr>
          <w:type w:val="nextPage"/>
          <w:pgSz w:w="12240" w:h="15840"/>
          <w:pgMar w:left="1440" w:right="1440" w:gutter="0" w:header="720" w:top="776" w:footer="0" w:bottom="1008"/>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rPr>
        <w:t xml:space="preserve">Indicated Utilities' Filing </w:t>
      </w:r>
      <w:r>
        <w:rPr/>
        <w:t xml:space="preserve">(Docket Nos. EL00-59-000 and ER00-2005-000) </w:t>
      </w:r>
      <w:r>
        <w:rPr>
          <w:rFonts w:cs="WP TypographicSymbols" w:ascii="WP TypographicSymbols" w:hAnsi="WP TypographicSymbols"/>
        </w:rPr>
        <w:t>B</w:t>
      </w:r>
      <w:r>
        <w:rPr/>
        <w:t xml:space="preserve">  On March 31, 2000, Central Maine Power Company, Northeast Indicated Utilities Service Company, The United Illuminating Company, Unitil Power Corp. and Fitchburg Gas and Electric Light Company and Vermont Electric Power Company, Inc. (the "Indicated Utilities'") filed a complaint against NEPOOL and ISO-NE, opposing aspects of the initial implementation of the proposed CMS through an uplift, the rolling in of certain transmission upgrade and interconnection costs, and certain allocations of FCRs.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V.</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INTERVENTION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EPMI's, SEL's, and TCPM's interests are directly affected by the outcome in these proceedings.  EPMI, SEL, and TCPM are competitors of members of NEPOOL and are users of ISO-NE members' transmission facilities.  EPMI, SEL, and TCPM are also marketers of electric power and related services to members of NEPOOL and ISO-NE.  EPMI's, SEL's, and TCPM's interests cannot be adequately represented by any other party.  Therefore, EPMI, SEL, and TCPM submit that their interventions in these proceedings is in the public interest.  EPMI, SEL, and TCPM support ISO-NE's CMS and MSS proposals, but, as explained below, protest the retention of the ICAP obligation beyond the June 1, 2000, start date of the proposed market reforms.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 xml:space="preserve">VI.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tab/>
        <w:t>PROTEST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Joint Intervenors fundamentally support the ISO-NE's proposal in Docket Nos. EL00-62-000, </w:t>
      </w:r>
      <w:r>
        <w:rPr>
          <w:i/>
        </w:rPr>
        <w:t>et al.,</w:t>
      </w:r>
      <w:r>
        <w:rPr/>
        <w:t xml:space="preserve"> and believe that, once the proposed reforms are fully implemented, the ISO-NE market will be more efficient and market responsive.  There are, however, several fundamental defects with ISO-NE's proposal related to transitional issues that need to be changed in order to facilitate the development of New England energy markets, and to prevent unfair injury to load serving entities and New England consumers.  First, the ISO-NE's proposal to maintain the ICAP program until January 1, 2002, will unnecessarily prolong and perpetuate a costly and long-discredited mechanism that has no role in a restructured market.  Second, by failing to delay the elimination of the "In-Service" obligation until potentially as late as the Spring of 2002, when the CMS/MSS programs become effective, the ISO-NE's proposal will unnecessarily perpetuate the hoarding problem that it itself has identified.  Third, the ISO-NE's proposal to allocate near-term congestion costs based on Net Hourly Load Obligation should be rejected because it will eliminate the incentive that transmission owners have to cooperate with ISO-NE in coordinating their planned transmission outages.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The Indicated Utilities and the Supporting Generators also make proposals that should be rejected.  The Supporting Generators exacerbate the deficiencies in the ISO-NE's proposal by requesting to share in the FCR revenues.  The Indicated Utilities, by failing to implement FCRs and the proposed congestion management system concurrently, fail to deal effectively with the interim congestion problem, which necessarily requires that a workable hedging instrument be provided.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8"/>
        </w:rPr>
      </w:pPr>
      <w:r>
        <w:rPr>
          <w:b/>
          <w:sz w:val="28"/>
        </w:rPr>
        <w:t>I.</w:t>
        <w:tab/>
        <w:t>THE ISO-NE'S PROPOSAL TO PROLONG THE ICAP PROGRAM BEYOND JUNE 1, 2000 IS UNREASONABLE AND WILL BE HARMFUL TO THE MARKET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rPr>
      </w:pPr>
      <w:r>
        <w:rPr>
          <w:sz w:val="28"/>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ICAP is a product based on the </w:t>
      </w:r>
      <w:r>
        <w:rPr>
          <w:u w:val="single"/>
        </w:rPr>
        <w:t>mere existence</w:t>
      </w:r>
      <w:r>
        <w:rPr/>
        <w:t xml:space="preserve"> of generation resources, with virtually no regard for whether the resource is actually available in any given hour.  With the exception of certain owners of generation that profit from the existence of the ICAP obligation and who therefore propose to perpetuate it, ISO-NE and virtually everyone else participating in the New England energy markets believes that the ICAP obligation and associated "market" is an anachronism </w:t>
      </w:r>
      <w:r>
        <w:rPr>
          <w:rFonts w:cs="WP TypographicSymbols" w:ascii="WP TypographicSymbols" w:hAnsi="WP TypographicSymbols"/>
        </w:rPr>
        <w:t>B</w:t>
      </w:r>
      <w:r>
        <w:rPr/>
        <w:t xml:space="preserve"> a relic of the world of price-regulated energy in which there were no price signals to inform decisions to invest in generation adequacy.  ICAP provides no value to electricity consumers because it is redundant with the Energy and Reserves markets, does not require delivery of any physical product and is not used by ISO-NE to assure reliability.  Instead, ICAP imposes unnecessary costs on consumers and should be discontinued when the CMS and MSS proposals go into effect on June 1, 2000.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While we agree with the ISO about the need to eliminate ICAP, we disagree with its proposal for continuing ICAP during a sunset period (or perhaps indefinitely, as proposed by the beneficiary Supporting Generators).  Prolonging the death of ICAP during a sunset period that will last until January 1, 2002, will unnecessarily slow market development, and burden consumers during the interim with charges for a meaningless and worthless product in the artificial ICAP market.  Should the ICAP market be extended much longer, the ICAP's generator constituency will become increasingly more entrenched and demanding.  As the Maine Public Indicated Utilities Commission ("MEPUC") explains, allowing ICAP "to limp along for two [more] years" threatens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2160"/>
        <w:jc w:val="both"/>
        <w:rPr/>
      </w:pPr>
      <w:r>
        <w:rPr/>
        <w:t>(1)</w:t>
        <w:tab/>
        <w:t xml:space="preserve">Make a mockery of ICAP's intended purpose of providing incentives to build new generation capacity, which a reward known to expire in two years surely will not do;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2160"/>
        <w:jc w:val="both"/>
        <w:rPr/>
      </w:pPr>
      <w:r>
        <w:rPr/>
        <w:t>(2)</w:t>
        <w:tab/>
        <w:t xml:space="preserve">Divert attention from the more pressing issues of congestion management and a settlement system that does not invite gaming, as does the current single settlement; and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2160"/>
        <w:jc w:val="both"/>
        <w:rPr/>
      </w:pPr>
      <w:r>
        <w:rPr/>
        <w:t>(3)</w:t>
        <w:tab/>
        <w:t xml:space="preserve">Invite Supporting Generators to game the ICAP "market" more aggressively in order to extract as much profit as possible during the final two years during which few, if any new generators are likely to enter the capacity market and contest their market power.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rPr>
        <w:t>Amendment to Protest of the Maine Public Indicated Utilities Commission</w:t>
      </w:r>
      <w:r>
        <w:rPr/>
        <w:t xml:space="preserve">,  Docket No. ER99-2335-000, </w:t>
      </w:r>
      <w:r>
        <w:rPr>
          <w:i/>
        </w:rPr>
        <w:t>et al.</w:t>
      </w:r>
      <w:r>
        <w:rPr/>
        <w:t>, at 3-4 (Jan. 21, 2000) [hereinafter cited as</w:t>
      </w:r>
      <w:r>
        <w:rPr>
          <w:i/>
        </w:rPr>
        <w:t xml:space="preserve"> MEPUC Amend. Protest</w:t>
      </w:r>
      <w:r>
        <w:rPr/>
        <w:t>].</w:t>
      </w:r>
      <w:r>
        <w:rPr>
          <w:i/>
        </w:rPr>
        <w:t xml:space="preserve"> </w:t>
      </w:r>
      <w:r>
        <w:rPr/>
        <w:t xml:space="preserve"> The ICAP market should therefore be terminated on June 1, 2000, when the first phase of the CMS/MSS reforms begin to take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 xml:space="preserve">  </w:t>
      </w:r>
      <w:r>
        <w:rPr/>
        <w:tab/>
        <w:t>To inform the Commission's decision to eliminate the ICAP market before this summer's peak air conditioning season, in this protest we review for the Commission the case against ICAP and debunk the defense the Supporting Generators mount for retaining ICAP with a delivery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i/>
          <w:i/>
          <w:sz w:val="26"/>
        </w:rPr>
      </w:pPr>
      <w:r>
        <w:rPr>
          <w:b/>
          <w:i/>
          <w:sz w:val="26"/>
        </w:rPr>
        <w:t>A.</w:t>
        <w:tab/>
        <w:t>ICAP Is Widely Recognized as an Anachronism that Serves No Purpose Other than to Bilk Customers, as Generators Game the ICAP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Other than generators for whom ICAP is easy money, every interest in the New England market that has considered the issue agrees that ICAP has no place in today's price decontrolled power market in New England.  Likewise, the vulnerability of the ICAP market to strategic gaming is widely recognized.  The time to abolish that market is on June 1, 2000, the effective date of CMS/MSS and not two years from now, as proposed in the filing of ISO-NE.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fldChar w:fldCharType="begin"/>
      </w:r>
      <w:r>
        <w:rPr>
          <w:sz w:val="26"/>
          <w:i/>
          <w:b/>
        </w:rPr>
        <w:instrText xml:space="preserve"> SEQ 3_1 \* ARABIC </w:instrText>
      </w:r>
      <w:r>
        <w:rPr>
          <w:sz w:val="26"/>
          <w:i/>
          <w:b/>
        </w:rPr>
        <w:fldChar w:fldCharType="separate"/>
      </w:r>
      <w:r>
        <w:rPr>
          <w:sz w:val="26"/>
          <w:i/>
          <w:b/>
        </w:rPr>
        <w:t>1</w:t>
      </w:r>
      <w:r>
        <w:rPr>
          <w:sz w:val="26"/>
          <w:i/>
          <w:b/>
        </w:rPr>
        <w:fldChar w:fldCharType="end"/>
      </w:r>
      <w:r>
        <w:rPr>
          <w:b/>
          <w:i/>
          <w:sz w:val="26"/>
        </w:rPr>
        <w:t>.</w:t>
        <w:tab/>
        <w:t>Independent analysis recommends immediate termination of the ICAP market</w:t>
      </w:r>
      <w:r>
        <w:rPr>
          <w:sz w:val="26"/>
        </w:rPr>
        <w:t xml:space="preserve"> </w:t>
      </w:r>
      <w:r>
        <w:rPr>
          <w:rFonts w:cs="WP TypographicSymbols" w:ascii="WP TypographicSymbols" w:hAnsi="WP TypographicSymbols"/>
          <w:sz w:val="26"/>
        </w:rPr>
        <w:t>B</w:t>
      </w:r>
      <w:r>
        <w:rPr/>
        <w:t xml:space="preserve"> In response to the tight power pool restructuring mandated by the Commission's Order No. 888, NEPOOL restructured the operation of its transmission grid into ISO-NE and appointed for it a distinguished board of directors.  Among the board's first actions was the selection of two highly qualified, independent experts on markets and market structures, the aforementioned Professors Peter Cramton and Robert Wilson, to analyze and recommend any necessary changes in NEPOOL's seven product markets, including ICAP and Operable Capability ("OPCAP"), and the associated market rules that were then proposed to take effect in New England.</w:t>
      </w:r>
      <w:r>
        <w:rPr>
          <w:rStyle w:val="FootnoteCharacters"/>
          <w:rStyle w:val="FootnoteReference"/>
          <w:vertAlign w:val="superscript"/>
        </w:rPr>
        <w:footnoteReference w:id="6"/>
      </w:r>
      <w:r>
        <w:rPr/>
        <w:t xml:space="preserve">  On September 9, 1998, Professors Cramton and Wilson submitted their report, "A Review of ISO New England's Proposed Market Rules," in which the authors recommended that the ISO-NE eliminate both the OPCAP and ICAP obligation and associated markets.  In reaching this conclusion, Cramton and Wilson stated: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In principle, the installed capability and the operable capability markets are unnecessary in a competitive electricity market.  Under competition, capacity is determined over the long term by the market in response to price expectations.  If expectations are correct, then sufficient capacity is built so that the market prices just cover all costs including a risk-adjusted return on capital investments.  If expectations are incorrect, then prices will be high, prompting additional investment in capacity, or low, prompting curtailed investment in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rPr>
        <w:t>Cramton and Wilson Report</w:t>
      </w:r>
      <w:r>
        <w:rPr/>
        <w:t xml:space="preserve"> at 37 (excerpts attached as Appendix A, hereto).  Cramton and Wilson described the OPCAP and ICAP obligation and associated markets as a "holdover from the regulated setting."  </w:t>
      </w:r>
      <w:r>
        <w:rPr>
          <w:i/>
        </w:rPr>
        <w:t>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While acknowledging that the capacity markets could possibly serve a useful, but limited role during the transition to a competitive market in coordinating investments in capacity, Cramton and Wilson nevertheless recommended that these markets be terminated before December 1, 1998, the intended start-date of ISO-NE's hourly market.  Cramton and Wilson's explanation for why OPCAP and ICAP should be eliminated in advance of the start-date was prescient.  They explained that </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once these markets are established there will be parties that benefit from them at the expense of other participants.  For example, incumbent suppliers may want capacity requirements to continue so that they receive payments for obsolete plants that they would otherwise decommission, to be replaced by new more efficient plants.  These parties will lobby for the status quo, and organizational inertia may mean that the capacity markets last well beyond any usefulness in transition.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rPr>
        <w:t>Id</w:t>
      </w:r>
      <w:r>
        <w:rPr/>
        <w:t xml:space="preserve">. at 38.  In addition, Cramton and Wilson point out that retaining the OPCAP and ICAP obligations will increase complexity and administrative costs, while distorting investment decisions. Accordingly, the report recommended that "capacity costs should be recovered through prices in the energy and reserve markets, and not as part of an artificial [OPCAP and ICAP] market created by administrative regulations."  </w:t>
      </w:r>
      <w:r>
        <w:rPr>
          <w:i/>
        </w:rPr>
        <w:t>Id.</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In January 19, 1999, comments to the Commission, ISO-NE agreed with Cramton and Wilson and endorsed the elimination of the OPCAP and ICAP obligation.  </w:t>
      </w:r>
      <w:r>
        <w:rPr>
          <w:i/>
        </w:rPr>
        <w:t>Motion to Intervene and Comments of ISO New England Inc.</w:t>
      </w:r>
      <w:r>
        <w:rPr/>
        <w:t xml:space="preserve"> (filed January 19, 1999, Docket Nos. ER99-2335-000, ER00-984-000, ER00-985-000) at 22.  The ISO-NE referred to ICAP as a "relic of the regulated industry" and echoed Cramton and Wilson's conclusion that it is not needed to attract investment in generation.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fldChar w:fldCharType="begin"/>
      </w:r>
      <w:r>
        <w:rPr>
          <w:sz w:val="26"/>
          <w:i/>
          <w:b/>
        </w:rPr>
        <w:instrText xml:space="preserve"> SEQ 3_1 \* ARABIC </w:instrText>
      </w:r>
      <w:r>
        <w:rPr>
          <w:sz w:val="26"/>
          <w:i/>
          <w:b/>
        </w:rPr>
        <w:fldChar w:fldCharType="separate"/>
      </w:r>
      <w:r>
        <w:rPr>
          <w:sz w:val="26"/>
          <w:i/>
          <w:b/>
        </w:rPr>
        <w:t>2</w:t>
      </w:r>
      <w:r>
        <w:rPr>
          <w:sz w:val="26"/>
          <w:i/>
          <w:b/>
        </w:rPr>
        <w:fldChar w:fldCharType="end"/>
      </w:r>
      <w:r>
        <w:rPr>
          <w:b/>
          <w:i/>
          <w:sz w:val="26"/>
        </w:rPr>
        <w:fldChar w:fldCharType="begin"/>
      </w:r>
      <w:r>
        <w:rPr>
          <w:sz w:val="26"/>
          <w:i/>
          <w:b/>
        </w:rPr>
        <w:instrText xml:space="preserve"> SEQ 3_2 \* ARABIC </w:instrText>
      </w:r>
      <w:r>
        <w:rPr>
          <w:sz w:val="26"/>
          <w:i/>
          <w:b/>
        </w:rPr>
        <w:fldChar w:fldCharType="separate"/>
      </w:r>
      <w:r>
        <w:rPr>
          <w:sz w:val="26"/>
          <w:i/>
          <w:b/>
        </w:rPr>
        <w:t>0</w:t>
      </w:r>
      <w:r>
        <w:rPr>
          <w:sz w:val="26"/>
          <w:i/>
          <w:b/>
        </w:rPr>
        <w:fldChar w:fldCharType="end"/>
      </w:r>
      <w:r>
        <w:rPr>
          <w:b/>
          <w:i/>
          <w:sz w:val="26"/>
        </w:rPr>
        <w:tab/>
        <w:t>Vulnerability to gaming has already forced the termination of the OPCAP obligation and associated market</w:t>
      </w:r>
      <w:r>
        <w:rPr>
          <w:b/>
          <w:i/>
        </w:rPr>
        <w:t xml:space="preserve"> </w:t>
      </w:r>
      <w:r>
        <w:rPr>
          <w:rFonts w:cs="WP TypographicSymbols" w:ascii="WP TypographicSymbols" w:hAnsi="WP TypographicSymbols"/>
        </w:rPr>
        <w:t>B</w:t>
      </w:r>
      <w:r>
        <w:rPr/>
        <w:t xml:space="preserve"> On August 5, 1999, ISO-NE filed a request for expedited approval of revisions to NEPOOL Market Rules 1 and 10.  It had found that in situations when NEPOOL Operating Procedure 4 ("OP 4")</w:t>
      </w:r>
      <w:r>
        <w:rPr>
          <w:rStyle w:val="FootnoteCharacters"/>
          <w:rStyle w:val="FootnoteReference"/>
          <w:vertAlign w:val="superscript"/>
        </w:rPr>
        <w:footnoteReference w:id="7"/>
      </w:r>
      <w:r>
        <w:rPr/>
        <w:t xml:space="preserve"> was invoked, the clearing price for OPCAP could increase dramatically, "with no basis in cost and no constraint on bid behavior . . . ."  </w:t>
      </w:r>
      <w:r>
        <w:rPr>
          <w:i/>
        </w:rPr>
        <w:t>ISO Request for Expedited Approval of Revisions to NEPOOL Market Rules 1 and 10,</w:t>
      </w:r>
      <w:r>
        <w:rPr/>
        <w:t xml:space="preserve"> Docket No. ER99-4002-000, at 7 (Aug. 5, 1999).  The proposed revisions addressed this phenomenon by establishing rules for capping the OPCAP clearing price during capacity shortages.  In its August filing, ISO-NE concluded that four of the NEPOOL markets, including OPCAP and ICAP were "fundamentally flawed" because they "do not require delivery of any physical product, and there is no difference between the costs or risks incurred by those Participants who receive payment in the market and those who do not.  As a result, the only economically rational bid in the market is a bid of zero (to ensure selection in the hope there is any positive price) or a bid that is an attempt to set the clearing price." </w:t>
      </w:r>
      <w:r>
        <w:rPr>
          <w:i/>
        </w:rPr>
        <w:t xml:space="preserve"> Id. </w:t>
      </w:r>
      <w:r>
        <w:rPr/>
        <w:t xml:space="preserve">at 6.  ISO-NE explained further that there is no relationship between this bidding strategy and a generator's behavior because there is no relationship between behavior and price signals in either the OPCAP or ICAP market. </w:t>
      </w:r>
      <w:r>
        <w:rPr>
          <w:i/>
        </w:rPr>
        <w:t xml:space="preserve"> Id.</w:t>
      </w:r>
      <w:r>
        <w:rPr/>
        <w:t xml:space="preserve"> at 7.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A divided Commission approved the proposed cap on OPCAP clearing prices on an interim basis to expire December 31, 1999.  </w:t>
      </w:r>
      <w:r>
        <w:rPr>
          <w:i/>
        </w:rPr>
        <w:t>ISO New England, Inc.</w:t>
      </w:r>
      <w:r>
        <w:rPr/>
        <w:t xml:space="preserve">, 88 F.E.R.C. </w:t>
      </w:r>
      <w:r>
        <w:rPr>
          <w:rFonts w:cs="WP TypographicSymbols" w:ascii="WP TypographicSymbols" w:hAnsi="WP TypographicSymbols"/>
        </w:rPr>
        <w:t>&amp;</w:t>
      </w:r>
      <w:r>
        <w:rPr/>
        <w:t xml:space="preserve"> 61,316 at 61,971 (1999).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Immediately before the price cap was to expire, NEPOOL filed with the Commission a proposal to terminate the OPCAP obligation and associated market effective March 1, 2000.</w:t>
      </w:r>
      <w:r>
        <w:rPr>
          <w:rStyle w:val="FootnoteCharacters"/>
          <w:rStyle w:val="FootnoteReference"/>
          <w:vertAlign w:val="superscript"/>
        </w:rPr>
        <w:footnoteReference w:id="8"/>
      </w:r>
      <w:r>
        <w:rPr/>
        <w:t xml:space="preserve">  In a February 23, 2000, order, the Commission granted that proposal and terminated the OPCAP obligation and associated market.   Rejecting the protest of New England generation owners, PG&amp;E and Indeck, that OPCAP is "needed to ensure availability of longer-term capacity," </w:t>
      </w:r>
      <w:r>
        <w:rPr>
          <w:i/>
        </w:rPr>
        <w:t>New England Power Pool</w:t>
      </w:r>
      <w:r>
        <w:rPr/>
        <w:t xml:space="preserve">, 90 F.E.R.C. </w:t>
      </w:r>
      <w:r>
        <w:rPr>
          <w:rFonts w:cs="WP TypographicSymbols" w:ascii="WP TypographicSymbols" w:hAnsi="WP TypographicSymbols"/>
        </w:rPr>
        <w:t>&amp;</w:t>
      </w:r>
      <w:r>
        <w:rPr/>
        <w:t xml:space="preserve"> 61,168 at 61,539 (2000), the Commission summarized the case against OPCAP as follows:</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The OpCap market is a redundant market whose value to consumers has not been demonstrated.  In addition, the capacity available through  the OpCap market is also available through the Operating Reserves and Energy markets.  Generators: (1) already receive compensation from the Operating Reserves and Energy markets for daily availability; and (2) provide no additional service for the revenues they receive from the OpCap market.  In addition, . . . the OpCap market suffers from market design flaws.   These . . . are apparent when, during . . . capacity deficiencies[]: (1) generators bid a small portion of their generation at a very high price in an attempt to set a high market clearing price, while bidding the bulk of their generation at zero to ensure that they will not lose revenues should their high bids be too high; and (2) all bids must be selected due to capacity shortages.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rPr>
        <w:t>Id.</w:t>
      </w:r>
      <w:r>
        <w:rPr>
          <w:rStyle w:val="FootnoteCharacters"/>
          <w:rStyle w:val="FootnoteReference"/>
          <w:i/>
          <w:vertAlign w:val="superscript"/>
        </w:rPr>
        <w:footnoteReference w:id="9"/>
      </w:r>
      <w:r>
        <w:rPr>
          <w:i/>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ICAP suffers these same defects.  Capacity available in the ICAP market (to the extent it is in condition to be run at all which, as previously noted, is not a requirement) is also available to participate and be paid in the various reserve markets and the energy market.  Moreover, as the ISO-NE reports in the instant filing, the type of strategic bidding capable of dramatically running up OPCAP clearing prices is equally effective in the ICAP market and, in fact, has succeeded in running up prices during contrived capacity shortages: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pPr>
      <w:r>
        <w:rPr/>
        <w:t xml:space="preserve">The bidding incentives and observed bidding behavior in the [ICAP] Market are essentially the same as in the [OPCAP] Market.  </w:t>
      </w:r>
      <w:r>
        <w:rPr>
          <w:i/>
        </w:rPr>
        <w:t>The market is a game of "ask and it shall be given"</w:t>
      </w:r>
      <w:r>
        <w:rPr/>
        <w:t xml:space="preserve"> and most Participants have bid zero or very low bids in an effort to be accepted, while a few have bid extremely high prices.  Prior to January 2000, the clearing price [for ICAP] had been zero in all but three months, in which the price ranged from $246 to $1,243 per megawatt.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pPr>
      <w:r>
        <w:rPr/>
        <w:t>In December 1999 and January 2000 several Participants substantially raised their bid prices for [ICAP].  At the same time at least one of these Participants sold less [ICAP] in the bilateral market with the result that its excess in the [ICAP] auction was much greater.  Similarly, deficiencies of Participants who had been purchasing in the bilateral market became greater.  Thus, there was a larger amount of deficiency chasing a smaller amount of excess [ICAP] at low prices, while the balance was bid at very high prices. .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start="1440" w:end="1440"/>
        <w:jc w:val="both"/>
        <w:rPr/>
      </w:pPr>
      <w:r>
        <w:rPr/>
        <w:t>The flaws in the [OPCAP] auction became evident in circumstances when supply became limited due to emergency conditions.  It now appears that the [ICAP] auction is subject to similar crises.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i/>
        </w:rPr>
        <w:t xml:space="preserve">Filing of ISO New England Relating to a Congestion Management System and a Multi-Settlement System for the New England Power Pool, </w:t>
      </w:r>
      <w:r>
        <w:rPr/>
        <w:t xml:space="preserve">Docket Nos. EL00-62-000, </w:t>
      </w:r>
      <w:r>
        <w:rPr>
          <w:i/>
        </w:rPr>
        <w:t>et al.,</w:t>
      </w:r>
      <w:r>
        <w:rPr/>
        <w:t xml:space="preserve"> at 89-90 (Mar. 31, 2000) (emphasis added)(footnote omitted) [hereinafter cited as </w:t>
      </w:r>
      <w:r>
        <w:rPr>
          <w:i/>
        </w:rPr>
        <w:t>ISO-NE CMS/MSS Filing</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Finally, in a January 21, 2000, amendment to its earlier  protest in Docket Nos. ER99-2335-000, </w:t>
      </w:r>
      <w:r>
        <w:rPr>
          <w:i/>
        </w:rPr>
        <w:t>et al.</w:t>
      </w:r>
      <w:r>
        <w:rPr/>
        <w:t xml:space="preserve">, the MEPUC opposed any sunsetting of the ICAP obligation beyond June 1, 2000.   The MEPUC explained that the continuation of the market until December 31, 2001, as proposed in the ISO-NE Filing (1) could not fulfill ICAP's putative purpose of providing incentives to build new generation, (2) would not make any contribution to maintaining reliability, and (3) risked becoming increasingly vulnerable to market power abuses.  </w:t>
      </w:r>
      <w:r>
        <w:rPr>
          <w:i/>
        </w:rPr>
        <w:t xml:space="preserve">MEPUC Amend. Protest </w:t>
      </w:r>
      <w:r>
        <w:rPr/>
        <w:t>at 3-4.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b/>
          <w:i/>
          <w:i/>
          <w:sz w:val="26"/>
        </w:rPr>
      </w:pPr>
      <w:r>
        <w:rPr>
          <w:b/>
          <w:i/>
          <w:sz w:val="26"/>
        </w:rPr>
        <w:t>B.</w:t>
        <w:tab/>
        <w:t>Generator Arguments for Perpetuating the ICAP Obligations Are Meritless</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Supporting Generators propose to add a deliverability requirement to the ICAP obligation; they assert that this change will make the ICAP obligation resemble the capacity obligation of load servers in the PJM Interconnection.   With that modification, they argue that the ICAP obligation should be retained for four reasons.  First, they contend that the ICAP obligation is "a proven mechanism for maintaining system reliability."  </w:t>
      </w:r>
      <w:r>
        <w:rPr>
          <w:i/>
        </w:rPr>
        <w:t>Supporting Generators Filing</w:t>
      </w:r>
      <w:r>
        <w:rPr/>
        <w:t xml:space="preserve">, </w:t>
      </w:r>
      <w:r>
        <w:rPr>
          <w:i/>
        </w:rPr>
        <w:t>Transmittal Ltr.</w:t>
      </w:r>
      <w:r>
        <w:rPr/>
        <w:t xml:space="preserve"> at 29.  Second, they defend it as "consistent with the historic practices followed by all of the eastern power pools."  </w:t>
      </w:r>
      <w:r>
        <w:rPr>
          <w:i/>
        </w:rPr>
        <w:t xml:space="preserve">Id. </w:t>
      </w:r>
      <w:r>
        <w:rPr/>
        <w:t xml:space="preserve"> Third, they allege that it is "the most efficient means available today for maintaining reliability" because, without such an obligation, "free rider" problems will cause capacity to be "under-provided."   </w:t>
      </w:r>
      <w:r>
        <w:rPr>
          <w:i/>
        </w:rPr>
        <w:t xml:space="preserve">Id. </w:t>
      </w:r>
      <w:r>
        <w:rPr/>
        <w:t xml:space="preserve"> at 30.  Finally, they argue that the ICAP obligation with a deliverability requirement "is the only reliability assurance mechanism that has been fully studied and supported within NEPOOL."  </w:t>
      </w:r>
      <w:r>
        <w:rPr>
          <w:i/>
        </w:rPr>
        <w:t>Id.</w:t>
      </w:r>
      <w:r>
        <w:rPr/>
        <w:t> at 31.  These arguments are specious and should be rejected.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t>1.</w:t>
      </w:r>
      <w:r>
        <w:rPr>
          <w:sz w:val="26"/>
        </w:rPr>
        <w:tab/>
      </w:r>
      <w:r>
        <w:rPr>
          <w:b/>
          <w:i/>
          <w:sz w:val="26"/>
        </w:rPr>
        <w:t>Because Supporting Generators' deliverability test confuses the ability to meet peak load with the need for congestion management, their deliverabilty modification will not assure adequate capacity</w:t>
      </w:r>
      <w:r>
        <w:rPr>
          <w:sz w:val="26"/>
        </w:rPr>
        <w:t xml:space="preserve"> </w:t>
      </w:r>
      <w:r>
        <w:rPr>
          <w:rFonts w:cs="WP TypographicSymbols" w:ascii="WP TypographicSymbols" w:hAnsi="WP TypographicSymbols"/>
        </w:rPr>
        <w:t>B</w:t>
      </w:r>
      <w:r>
        <w:rPr/>
        <w:t xml:space="preserve"> The Supporting Generators propose to redefine the generating resources of New England that will be eligible to be counted on by a load server to meet its ICAP obligation.  This redefinition is what they call a deliverability requirement.  According to the Supporting Generators' witness, Mr. Adamson, the deliverability requirement means that the generator would "me[e]t the standards for generator deliverability under the full integration standard" that NEPOOL, until recently, imposed on new generator interconnections.  </w:t>
      </w:r>
      <w:r>
        <w:rPr>
          <w:i/>
        </w:rPr>
        <w:t>Adamson Testimony</w:t>
      </w:r>
      <w:r>
        <w:rPr/>
        <w:t xml:space="preserve"> at 72.  The full integration standard, proposed by NEPOOL,</w:t>
      </w:r>
      <w:r>
        <w:rPr>
          <w:rStyle w:val="FootnoteCharacters"/>
          <w:rStyle w:val="FootnoteReference"/>
          <w:vertAlign w:val="superscript"/>
        </w:rPr>
        <w:footnoteReference w:id="10"/>
      </w:r>
      <w:r>
        <w:rPr/>
        <w:t xml:space="preserve"> denied interconnection to new generators unless they could demonstrate that they were capable of delivering power to all load, wherever located, within NEPOOL, under all system conditions.</w:t>
      </w:r>
      <w:r>
        <w:rPr>
          <w:rStyle w:val="FootnoteCharacters"/>
          <w:rStyle w:val="FootnoteReference"/>
          <w:vertAlign w:val="superscript"/>
        </w:rPr>
        <w:footnoteReference w:id="11"/>
      </w:r>
      <w:r>
        <w:rPr/>
        <w:t xml:space="preserve">  If the generator were incapable of making this demonstration, then it had these choices:  abandon its project, find a new location, volunteer to finance transmission system upgrades necessary to satisfy the full integration standard, or finally not operate at all under certain system conditions.</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The Commission rejected the proposed full integration requirement as "cumbersome and ineffective" and based on "extreme assumptions."  </w:t>
      </w:r>
      <w:r>
        <w:rPr>
          <w:i/>
        </w:rPr>
        <w:t>New England Power Pool</w:t>
      </w:r>
      <w:r>
        <w:rPr/>
        <w:t xml:space="preserve">, 85 F.E.R.C. </w:t>
      </w:r>
      <w:r>
        <w:rPr>
          <w:rFonts w:cs="WP TypographicSymbols" w:ascii="WP TypographicSymbols" w:hAnsi="WP TypographicSymbols"/>
        </w:rPr>
        <w:t>&amp;</w:t>
      </w:r>
      <w:r>
        <w:rPr/>
        <w:t xml:space="preserve"> 61,141 at 61,551-52 (1998).  Reviving full integration in the form of the Supporting Generators' deliverability criterion would mean that existing generators in New England (of which a significant percentage are owned by the Supporting Generators) will meet this new definition of a generator eligible to supply and be paid for ICAP, while new entrant generators, in all likelihood will not.  Not surprisingly, all of the Supporting Generators are owners of existing plants inside the NEPOOL control area that were built to meet a standard that would have enabled many of them to be considered "fully integrated," had the Commission approved the full integration standard.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The Supporting Generators' proposal is plainly self-serving.  It not only discriminates against new entrant generators, but it also fails to assure reliability.  Being able to meet the full integration requirement means that under all operational scenarios a generator will not be dispatched down or off due to transmission constraints.  That is a function of congestion and congestion management, unrelated to a generator's availability during system peaks.  In other words, full integration in the guise of ICAP with the proposed deliverability obligation in no sense assures that the generator will be operable at the time that it is required or that the generator will not already be operating and otherwise committed at such time.  Perhaps most telling of all is the admission by the ISO, which bears responsibility for ensuring system reliability, that it "does not use Installed Capability in managing the bulk power system."  </w:t>
      </w:r>
      <w:r>
        <w:rPr>
          <w:i/>
        </w:rPr>
        <w:t>ISO-NE CMS/MSS Filing</w:t>
      </w:r>
      <w:r>
        <w:rPr/>
        <w:t xml:space="preserve"> at 88.</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 xml:space="preserve">  </w:t>
      </w:r>
      <w:r>
        <w:rPr/>
        <w:tab/>
        <w:t>By contrast, assurance of availability can be achieved through market mechanisms.  For instance, a load server can (and routinely does) enter into call contracts for delivered energy at strike prices that assure that a generator otherwise committed can be called on when needed.  This call option can be (and often is) financially backstopped by an agreement obligating a seller in default to pay the purchaser's liquidated damages equal to the purchaser's cost of cover.  This will provide financial incentives for generator to participate in the "real" physical markets of energy and ancillary services without according them artificial ICAP revenues.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t>2.</w:t>
        <w:tab/>
        <w:t>Resort to an ICAP obligation in the past was a second-best solution in the absence of market prices for energy and ancillary services</w:t>
      </w:r>
      <w:r>
        <w:rPr>
          <w:sz w:val="26"/>
        </w:rPr>
        <w:t xml:space="preserve"> </w:t>
      </w:r>
      <w:r>
        <w:rPr>
          <w:rFonts w:cs="WP TypographicSymbols" w:ascii="WP TypographicSymbols" w:hAnsi="WP TypographicSymbols"/>
        </w:rPr>
        <w:t>B</w:t>
      </w:r>
      <w:r>
        <w:rPr/>
        <w:t xml:space="preserve"> The ICAP obligation grew out of the pervasively regulated past of the Northeastern tight power pools.  In that world </w:t>
      </w:r>
      <w:r>
        <w:rPr>
          <w:rFonts w:cs="WP TypographicSymbols" w:ascii="WP TypographicSymbols" w:hAnsi="WP TypographicSymbols"/>
        </w:rPr>
        <w:t>B</w:t>
      </w:r>
      <w:r>
        <w:rPr/>
        <w:t xml:space="preserve"> before open access, decontrolled prices for energy and certain ancillary services, and opportunities for retail competition </w:t>
      </w:r>
      <w:r>
        <w:rPr>
          <w:rFonts w:cs="WP TypographicSymbols" w:ascii="WP TypographicSymbols" w:hAnsi="WP TypographicSymbols"/>
        </w:rPr>
        <w:t>B</w:t>
      </w:r>
      <w:r>
        <w:rPr/>
        <w:t xml:space="preserve"> there were no market prices to inform decisions whether and when to invest in additional generating capacity.  Lacking a market, NEPOOL and the other Northeastern tight pools (or state regulator in the case of New York) resorted to a second best solution:  an administratively determined, monthly obligation imposed on load servers in relation to their peak-period consumption and enforced through deficiency charges.  Enforcement of the ICAP obligation allowed the region</w:t>
      </w:r>
      <w:r>
        <w:rPr>
          <w:rFonts w:cs="WP TypographicSymbols" w:ascii="WP TypographicSymbols" w:hAnsi="WP TypographicSymbols"/>
        </w:rPr>
        <w:t>=</w:t>
      </w:r>
      <w:r>
        <w:rPr/>
        <w:t xml:space="preserve">s vertically integrated Indicated Utilities to cooperate in allocating equitably how each would provide reserve capacity to the interconnected region.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Resort to a second best solution is no longer the only option in New England.  Market prices for energy and reserves are available to inform investment decisions.  To argue that NEPOOL should perpetuate past practices on the ground that they worked in the past is tantamount to saying that we should not have eliminated the obligation that consumers buy their telephone from Ma Bell because Ma Bell's selections worked in the past.  That obligation, like the ICAP obligation, was a second best solution in an environment where the absence of competition precluded an optimal solution based on market prices.  The near term elimination of ICAP will encourage market development, whereas perpetuating ICAP will serve only to block the development of competitive markets.</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To argue, as does Supporting Generators' Mr. Adamson, that markets will not always produce optimal solutions at all times or may "under provide" capacity does not make a convincing case against relying on markets in lieu of second-best administrative solutions.  It is no mystery that electric generation facilities are a costly and bulky investment </w:t>
      </w:r>
      <w:r>
        <w:rPr>
          <w:rFonts w:cs="WP TypographicSymbols" w:ascii="WP TypographicSymbols" w:hAnsi="WP TypographicSymbols"/>
        </w:rPr>
        <w:t>B</w:t>
      </w:r>
      <w:r>
        <w:rPr/>
        <w:t xml:space="preserve"> referred to by economists as lumpy because they cannot be acquired in small increments that precisely match changes in demand.  As a result, investment decisions will not readily be undertaken so long as supply is adequate in the face of demand and demand is not forcing up prices.  This is not a fault or failure of the market, as Mr.  Adamson suggests.  </w:t>
      </w:r>
      <w:r>
        <w:rPr>
          <w:i/>
        </w:rPr>
        <w:t>See Adamson Testimony</w:t>
      </w:r>
      <w:r>
        <w:rPr/>
        <w:t xml:space="preserve"> at 81-82.  Rather, it is a virtue.  If, as Mr. Adamson implicitly assumes,  the ICAP obligation causes greater or earlier investment in generating capacity, then the ICAP obligation is producing inefficient and uneconomical investments, driving up the cost of power to consumers and revenues to his clients.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t>3.</w:t>
        <w:tab/>
        <w:t>No one rides free on ICAP because it has no value</w:t>
      </w:r>
      <w:r>
        <w:rPr/>
        <w:t xml:space="preserve"> </w:t>
      </w:r>
      <w:r>
        <w:rPr>
          <w:rFonts w:cs="WP TypographicSymbols" w:ascii="WP TypographicSymbols" w:hAnsi="WP TypographicSymbols"/>
        </w:rPr>
        <w:t>B</w:t>
      </w:r>
      <w:r>
        <w:rPr/>
        <w:t xml:space="preserve"> This is not a free rider situation, as Supporting Generators contend.  Nor is it analogous to national defense, as Mr. Adamson contends. A free rider situation exists where an investor cannot control the distribution of wealth derived from its investment.  That is not true of investments in generation in the type of market contemplated by ISO-NE.  In that market, the generator would be paid for energy and ancillary services (including reserves) by those who consume those services.  There is no free rider. The consumer pays the producer for what it delivers:  energy and ancillary services.  </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Supporting Generators and their witness Mr. Adamson obscure this fact by arguing  implicitly that certain users of the ISO-NE grid benefit from ICAP without paying for it.  This reasoning is circular and should not dictate policy:  If ICAP is artificial and customers attach no value to it, save for when the administrative obligation can be gamed, </w:t>
      </w:r>
      <w:r>
        <w:rPr>
          <w:i/>
        </w:rPr>
        <w:t xml:space="preserve">see ISO-NE CMS/MSS Filing </w:t>
      </w:r>
      <w:r>
        <w:rPr/>
        <w:t xml:space="preserve">at 89 (ICAP usually trades at zero), then it is not a good or service on which anyone rides free.  To the contrary, in a competitive power market, investments in generating capacity are fully compensated in energy and ancillary service payments, as well as through the sale of call options on energy.  As the Commission notes, generators that provide reliability to the system deserve to be compensated, and they are in the markets for Operating Reserves, Energy and options, or both.  </w:t>
      </w:r>
      <w:r>
        <w:rPr>
          <w:i/>
        </w:rPr>
        <w:t>See supra</w:t>
      </w:r>
      <w:r>
        <w:rPr/>
        <w:t xml:space="preserve"> n. 8.  Consumers, however, should not be made to pay twice for the same service, as they do under ICAP.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t>4.          Following the example of neighboring pools is not justified when they are making a mistake</w:t>
      </w:r>
      <w:r>
        <w:rPr/>
        <w:t xml:space="preserve"> </w:t>
      </w:r>
      <w:r>
        <w:rPr>
          <w:rFonts w:cs="WP TypographicSymbols" w:ascii="WP TypographicSymbols" w:hAnsi="WP TypographicSymbols"/>
        </w:rPr>
        <w:t>B</w:t>
      </w:r>
      <w:r>
        <w:rPr/>
        <w:t xml:space="preserve"> The fact that New York and the PJM Interconnection have not yet terminated artificial ICAP requirements and associated markets is no reason to perpetuate the ICAP obligation in New England. The pool in New York has its rules, including capacity obligations, managed by a single state's political process; its mistakes and failures to keep abreast of the industry's evolution should not dictate regulatory policy for the multistate region of New England.  With regard to PJM </w:t>
      </w:r>
      <w:r>
        <w:rPr>
          <w:rFonts w:cs="WP TypographicSymbols" w:ascii="WP TypographicSymbols" w:hAnsi="WP TypographicSymbols"/>
        </w:rPr>
        <w:t>B</w:t>
      </w:r>
      <w:r>
        <w:rPr/>
        <w:t xml:space="preserve"> the Supporting Generator's preferred model for the future </w:t>
      </w:r>
      <w:r>
        <w:rPr>
          <w:rFonts w:cs="WP TypographicSymbols" w:ascii="WP TypographicSymbols" w:hAnsi="WP TypographicSymbols"/>
        </w:rPr>
        <w:t>B</w:t>
      </w:r>
      <w:r>
        <w:rPr/>
        <w:t xml:space="preserve"> its deliverable ICAP obligation, far from ensuring reliability, hosted on January 19, 1994, the only reliability failure (rolling blackouts) attributable to inadequate generation during the last 25 years.  </w:t>
      </w:r>
      <w:r>
        <w:rPr>
          <w:i/>
        </w:rPr>
        <w:t>See</w:t>
      </w:r>
      <w:r>
        <w:rPr/>
        <w:t xml:space="preserve"> Harry Singh &amp; Jonathan Jacobs,</w:t>
      </w:r>
      <w:r>
        <w:rPr>
          <w:i/>
        </w:rPr>
        <w:t xml:space="preserve"> Capacity Products and ISO Markets </w:t>
      </w:r>
      <w:r>
        <w:rPr/>
        <w:t>at 9 (Mar. 17, 2000) (attached as Appendix B, hereto).  With regard to both New York and the PJM Interconnection, rather than being a sound policy prescription for New England, the retention of ICAP obligations is testament to Cramton and Wilson's recognition that, if not abolished at the outset of restructured markets, ICAP obligations will create their own constituency of generators that will fight to retain them long after they have ceased to serve any legitimate purpose.</w:t>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Supporting Generators' witness Adamson seeks to defend the NEPOOL ICAP obligation by contrasting it with practices in the California and England and Wales pools.  This effort is misguided.  The fact that the designation of units in California as reliability must run ("RMR") has actually induced generators to withhold their output from the market is clearly a fault in that system.  </w:t>
      </w:r>
      <w:r>
        <w:rPr>
          <w:i/>
        </w:rPr>
        <w:t>See Singh &amp; Jacobs</w:t>
      </w:r>
      <w:r>
        <w:rPr/>
        <w:t xml:space="preserve"> at 8.   Like NEPOOL's ICAP obligation, designating units as RMR is an administrative, extra-market rule that works poorly.    With regard to the England and Wales pool, Mr. Adamson's views are even further off the mark.  That pool has performed with outstanding reliability for over a decade without the equivalent of an ICAP obligation.  Mr. Adamson seeks to divert attention from this fact with the irrelevant statement that "it should be noted that the entire England and Wales pool mechanism is due to be scrapped soon under changes to the electricity trading arrangements announced by the government."  </w:t>
      </w:r>
      <w:r>
        <w:rPr>
          <w:i/>
        </w:rPr>
        <w:t>Adamson</w:t>
      </w:r>
      <w:r>
        <w:rPr/>
        <w:t xml:space="preserve"> at 80.  What is soon to be scrapped is the mandatory pool which is to be replaced with a regime of voluntary, bilateral contracting.  Nothing in this change proposes to introduce anything resembling an ICAP or other administrative, extra-market obligation or rule.</w:t>
      </w:r>
      <w:r>
        <w:rPr>
          <w:rStyle w:val="FootnoteCharacters"/>
          <w:rStyle w:val="FootnoteReference"/>
          <w:vertAlign w:val="superscript"/>
        </w:rPr>
        <w:footnoteReference w:id="1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i/>
          <w:sz w:val="26"/>
        </w:rPr>
        <w:t>5.</w:t>
        <w:tab/>
        <w:t>Contrary to Supporting Generators, the ICAP obligation is not supported in NEPOOL</w:t>
      </w:r>
      <w:r>
        <w:rPr>
          <w:b/>
          <w:i/>
        </w:rPr>
        <w:t xml:space="preserve"> </w:t>
      </w:r>
      <w:r>
        <w:rPr>
          <w:rFonts w:cs="WP TypographicSymbols" w:ascii="WP TypographicSymbols" w:hAnsi="WP TypographicSymbols"/>
        </w:rPr>
        <w:t>B</w:t>
      </w:r>
      <w:r>
        <w:rPr/>
        <w:t xml:space="preserve"> It is fantasy for the Supporting Generators to defend the perpetuation of ICAP on the ground that it alone has been "fully studied and supported within NEPOOL."  </w:t>
      </w:r>
      <w:r>
        <w:rPr>
          <w:i/>
        </w:rPr>
        <w:t>Supporting Generators Transmittal Ltr.</w:t>
      </w:r>
      <w:r>
        <w:rPr/>
        <w:t xml:space="preserve"> at 31-32.   ICAP is supported only by the generators that profit from gaming its artificial market.  As the NEPOOL Status Report makes clear, on March 17, 2000, 64.88% of the pool voted in favor of a compromise proposal that includes the elimination of the ICAP market.  </w:t>
      </w:r>
      <w:r>
        <w:rPr>
          <w:i/>
        </w:rPr>
        <w:t xml:space="preserve">New England Power Pool Status Report </w:t>
      </w:r>
      <w:r>
        <w:rPr/>
        <w:t>(March 31, 2000) at 8.  Indeed, some NEPOOL Participants have gone so far as to call for the immediate elimination of ICAP in the national press in order to remedy the "price fixing" that it creates.</w:t>
      </w:r>
      <w:r>
        <w:rPr>
          <w:rStyle w:val="FootnoteCharacters"/>
          <w:rStyle w:val="FootnoteReference"/>
          <w:vertAlign w:val="superscript"/>
        </w:rPr>
        <w:footnoteReference w:id="13"/>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The only recent, systematic study of all of the market rules of NEPOOL is Cramton and Wilson's September 9, 1998, "A Review of ISO New England's Proposed Market Rules" at 6.  It recommended prompt termination of the ICAP obligation and associated markets.  ISO-NE agrees that the ICAP obligation is unnecessary and should be abolished.  ISO-NE only hesitates as to when that should occur.  Moreover, it is telling that the ISO-NE is unwilling to conclude that, in the interim, the ICAP "auction can function effectively as designed."  </w:t>
      </w:r>
      <w:r>
        <w:rPr>
          <w:i/>
        </w:rPr>
        <w:t>ISO-NE CMS/MSS Filing</w:t>
      </w:r>
      <w:r>
        <w:rPr/>
        <w:t xml:space="preserve"> at 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Taken together with Cramton and Wilson, the MEPUC makes the compelling case for stopping the ICAP when the rest of the CMS/MSS proposal takes effect on June 1, 2000.  Consistent with the analyses of Cramton and Wilson, ISO-NE and the MEPUC, the Commission should therefore terminate the ICAP obligation and associated market effective June 1, 2000, when the first phase of the CMS/MSS reforms takes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sectPr>
          <w:footnotePr>
            <w:numFmt w:val="decimal"/>
          </w:footnotePr>
          <w:type w:val="continuous"/>
          <w:pgSz w:w="12240" w:h="15840"/>
          <w:pgMar w:left="1440" w:right="1440" w:gutter="0" w:header="720" w:top="776" w:footer="0" w:bottom="1008"/>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8"/>
        </w:rPr>
      </w:pPr>
      <w:r>
        <w:rPr>
          <w:b/>
          <w:sz w:val="28"/>
        </w:rPr>
        <w:t>II.</w:t>
        <w:tab/>
        <w:t>THE  ISO-NE'S PROPOSAL TO DELAY THE ELIMINATION OF "IN-SERVICE" SHOULD BE REJECTED IN ORDER TO ELIMINATE THE HOARDING OF CAPACITY THAT IS PRESENTLY TAKING PLACE IN NEW ENGLAND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Entities seeking to import power into the NEPOOL control area from New York or Canada must comply with section 22A of the NEPOOL Tariff, which requires Transmission Customers to make OASIS reservations for "In-Service" and submit daily schedules for import transactions coming into the NEPOOL Control Area from New Brunswick or from New York.  Section 22A, which was intended to provide for allocating limited transmission capacity across these interties, has instead proven to be highly inefficient and subject to abuse because it creates and perpetuates the opportunity for hoarding limited transmission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Over two years ago, market participants raised concerns that the reservation of In-Service cost-free failed to provide incentives to market participants to reserve capacity only for </w:t>
      </w:r>
      <w:r>
        <w:rPr>
          <w:u w:val="single"/>
        </w:rPr>
        <w:t>real</w:t>
      </w:r>
      <w:r>
        <w:rPr/>
        <w:t xml:space="preserve"> import transactions.  Absent an effective deterrent, market participants are encouraged to lock-up tie capacity.  Despite indications of questionable market activity, the Commission, in October 1998, rejected NEPOOL</w:t>
      </w:r>
      <w:r>
        <w:rPr>
          <w:rFonts w:cs="WP TypographicSymbols" w:ascii="WP TypographicSymbols" w:hAnsi="WP TypographicSymbols"/>
        </w:rPr>
        <w:t>=</w:t>
      </w:r>
      <w:r>
        <w:rPr/>
        <w:t xml:space="preserve">s proposal to institute a charge for In-Service to discourage hoarding.  </w:t>
      </w:r>
      <w:r>
        <w:rPr>
          <w:i/>
        </w:rPr>
        <w:t>See New England Power Pool</w:t>
      </w:r>
      <w:r>
        <w:rPr/>
        <w:t xml:space="preserve">, 85 F.E.R.C. </w:t>
      </w:r>
      <w:r>
        <w:rPr>
          <w:rFonts w:cs="WP TypographicSymbols" w:ascii="WP TypographicSymbols" w:hAnsi="WP TypographicSymbols"/>
        </w:rPr>
        <w:t>&amp;</w:t>
      </w:r>
      <w:r>
        <w:rPr/>
        <w:t> 61,141 (1998).  The Commission was not convinced that there was a hoarding problem on the NEPOOL system, determining instead that import capacity was more likely being reserved to ensure Transmission Customers' access to economic resources in other control areas.</w:t>
      </w:r>
    </w:p>
    <w:p>
      <w:pPr>
        <w:sectPr>
          <w:headerReference w:type="default" r:id="rId6"/>
          <w:footnotePr>
            <w:numFmt w:val="decimal"/>
          </w:footnotePr>
          <w:type w:val="nextPage"/>
          <w:pgSz w:w="12240" w:h="15840"/>
          <w:pgMar w:left="1440" w:right="1440" w:gutter="0" w:header="1008" w:top="1064" w:footer="0" w:bottom="720"/>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In the instant proceeding, the ISO-NE proposes to eliminate In-Service on the effective date of CMS/MSS, which the ISO-NE predicts will be most likely during the Spring of 2002.  The ISO-NE explains that the lack of economic rationing of the capacity through a charge or other method has resulted in Participants reserving more intertie capacity than they need and that higher-value transactions are being frustrated for lack of transmission service.  In other words, the concern that was raised two years ago that In-Service is subject to abuse is evident today.  For these reasons, we fully support the ISO-NE's proposal to eliminate the In-Service provision of Section 22A from the NEPOOL Tariff.  The ability to effectively use intertie capacity between New York and New England is an integral component of creating competition and a liquid market between generators in New England and generators in New York.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Having identified hoarding as a problem existing in New England based on actual experience, however, it is unreasonable to delay fixing the problem until some undetermined time in the future, potentially not for another two years.  The problem exists today.  Both long- and short-term capacity has been tied up by a few Transmission Customers, leaving market participants with real flow needs little choice other than to resort to the daily release market to schedule capacity, which is problematic at times and reduces flexibility in the types of transactions that can be structured across the 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In the past, the Commission refused to eliminate In-Service because, in its view, there was insufficient evidence of hoarding.  Plainly, in light of the ISO-NE's statement that hoarding in fact is occurring in New England, the Commission should not summarily dismiss this concern and simply allow In-Service to continue for another two years. Rather, the Commission should direct NEPOOL to file within sixty (60) days amendments to the NEPOOL Tariff to address the current hoarding of In-Service now, prior to the CMS/MSS 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jc w:val="both"/>
        <w:rPr/>
      </w:pPr>
      <w:r>
        <w:rPr>
          <w:b/>
          <w:sz w:val="28"/>
        </w:rPr>
        <w:t>III.</w:t>
        <w:tab/>
        <w:t>THE PROPOSALS TO PREMATURELY ALLOCATE CONGESTION COSTS TO LOAD SERVING ENTITIES MUST BE REJECTED</w:t>
      </w:r>
      <w:r>
        <w:rPr>
          <w:sz w:val="28"/>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Before restructuring and the creation of ISO-NE, the investor-owned Indicated Utilities of NEPOOL operated their systems, planned system upgrades and coordinated outages on their individual system.  In addition, interconnecting generators were required to upgrade the system to eliminate any congestion they might cause.  While this may have resulted in the over-building of  transmission network, it at least had the virtue of largely eliminating congestion in New England.  With the advent of restructuring, all of this changed.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In NEPOOL's December 1996 NEPOOL restructuring proposal, a regionwide network tariff was established and the NEPOOL Agreement was amended to create a spot market for seven different products, including energy, two forms of capacity, three types of reserves and one additional ancillary service.  To administer the new tariff and markets, ISO-NE was created.  As noted, one of ISO-NE's first acts was to commission the report of the aforementioned  Professors Cramton and Wilson, "A Review of ISO New England's Proposed Market Rules."  In this report,  Professor Cramton and Wilson assessed whether the market design created by NEPOOL would indeed function.  Professors Cramton and Wilson concluded that the market design had several significant structural defects, including the absence of any explicit form of congestion pricing.  Professors Cramton and Wilson proposed to correct the problems through the adoption of locational prices for energy in New England.  Both the Commission and NEPOOL effectively embraced that recommendation.  </w:t>
      </w:r>
      <w:r>
        <w:rPr>
          <w:i/>
        </w:rPr>
        <w:t>New England Power Pool</w:t>
      </w:r>
      <w:r>
        <w:rPr/>
        <w:t xml:space="preserve">, 85 F.E.R.C. </w:t>
      </w:r>
      <w:r>
        <w:rPr>
          <w:rFonts w:cs="WP TypographicSymbols" w:ascii="WP TypographicSymbols" w:hAnsi="WP TypographicSymbols"/>
        </w:rPr>
        <w:t>&amp;</w:t>
      </w:r>
      <w:r>
        <w:rPr/>
        <w:t> 61,379 at 62,472 (1998).</w:t>
      </w:r>
    </w:p>
    <w:p>
      <w:pPr>
        <w:sectPr>
          <w:headerReference w:type="default" r:id="rId7"/>
          <w:footnotePr>
            <w:numFmt w:val="decimal"/>
          </w:footnotePr>
          <w:type w:val="nextPage"/>
          <w:pgSz w:w="12240" w:h="15840"/>
          <w:pgMar w:left="1440" w:right="1440" w:gutter="0" w:header="1008" w:top="1064" w:footer="0" w:bottom="720"/>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Subsequently, the Commission formally eliminated the full integration standard, which had been pending, finding it to be unnecessary and inconsistent with restructuring.  </w:t>
      </w:r>
      <w:r>
        <w:rPr>
          <w:i/>
        </w:rPr>
        <w:t>See New England Power Pool</w:t>
      </w:r>
      <w:r>
        <w:rPr/>
        <w:t>,</w:t>
      </w:r>
      <w:r>
        <w:rPr>
          <w:i/>
        </w:rPr>
        <w:t xml:space="preserve"> </w:t>
      </w:r>
      <w:r>
        <w:rPr/>
        <w:t xml:space="preserve">85 F.E.R.C. </w:t>
      </w:r>
      <w:r>
        <w:rPr>
          <w:rFonts w:cs="WP TypographicSymbols" w:ascii="WP TypographicSymbols" w:hAnsi="WP TypographicSymbols"/>
        </w:rPr>
        <w:t>&amp;</w:t>
      </w:r>
      <w:r>
        <w:rPr/>
        <w:t xml:space="preserve"> 61,141 at 61,551-52 (1998).  At approximately the same time, as part of the implementation of retail access in New England, the vertically integrated Indicated Utilities were encouraged, and in many cases required, to auction off their generation resources.  While the restructuring of the New England market has helped eliminate vertical market power and spur liquidity, it is has also led to a virtual collapse in the coordination between transmission and generation, both with regard to scheduled outages and new construction.  Further, incentives now exist for generators in congested areas to reduce their operating capability to maximize revenues.  This has caused congestion in New England to rise dramatically since the implementation of the NEPOOL markets, which has spawned the need to develop a mechanism for managing the congestion.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With congestion now an integral part of the New England market, a proper market structure must establish mechanisms that deals with it in an economically efficient and equitable manner.  If such mechanisms are not developed, the participation of entities that are necessary to develop the competitive market will be greatly diminished if not eliminated entirely.  As we shall now show, the proposals of both the Indicated Utilities and the Supporting Generators would lead to this result, and should therefore be rejected.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b/>
          <w:i/>
          <w:sz w:val="26"/>
        </w:rPr>
        <w:t>A.</w:t>
        <w:tab/>
        <w:t>The ISO-NE's and Indicated Utilities' Proposal to Allocate Congestion Costs to Load Servers without Providing them with FCRs Should Be Rejected Because it Will Impose Unacceptable Risks on Load Servers</w:t>
      </w:r>
      <w:r>
        <w:rPr>
          <w:rStyle w:val="FootnoteCharacters"/>
          <w:rStyle w:val="FootnoteReference"/>
          <w:sz w:val="26"/>
          <w:vertAlign w:val="superscript"/>
        </w:rPr>
        <w:footnoteReference w:id="14"/>
      </w:r>
      <w:r>
        <w:rPr>
          <w:b/>
          <w:i/>
          <w:sz w:val="26"/>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The Indicated Utilities propose that locational pricing be implemented in two phases.  First, they propose that a set of Reliability Regions or zones be established effective June 1, 2000, and that the cost of congestion within each zone be allocated to those entities with energy responsibility associated with serving load.  </w:t>
      </w:r>
      <w:r>
        <w:rPr>
          <w:i/>
        </w:rPr>
        <w:t>Indicated Utilities' Complaint</w:t>
      </w:r>
      <w:r>
        <w:rPr/>
        <w:t xml:space="preserve"> at 18.  The Indicated Utilities also propose certain exceptions to this allocation for generator interconnections, elective transmission upgrades and point-to-point service.  In each case, the congestion costs would be allocated to the generator, transmission developer and point-to-point customer, respectively.  The second phase of the Indicated Utilities' proposal would be the locational marginal pricing end-state proposed by the ISO-NE.  The flaw in this proposal, however, is that the Indicated Utilities do not provide for the sale of FCRs as part of their market structure.</w:t>
      </w:r>
      <w:r>
        <w:rPr>
          <w:rStyle w:val="FootnoteCharacters"/>
          <w:rStyle w:val="FootnoteReference"/>
          <w:vertAlign w:val="superscript"/>
        </w:rPr>
        <w:footnoteReference w:id="15"/>
      </w:r>
      <w:r>
        <w:rPr/>
        <w:t xml:space="preserve">  In addition, like the ISO-NE, the Indicated Utilities would allocate near-term congestion costs based on Net Hourly Load Obligation (</w:t>
      </w:r>
      <w:r>
        <w:rPr>
          <w:i/>
        </w:rPr>
        <w:t>i.e.</w:t>
      </w:r>
      <w:r>
        <w:rPr/>
        <w:t>, to those entities with energy responsibility associated with serving load) rather than on Network Load (</w:t>
      </w:r>
      <w:r>
        <w:rPr>
          <w:i/>
        </w:rPr>
        <w:t>i.e.</w:t>
      </w:r>
      <w:r>
        <w:rPr/>
        <w:t>, transmission customers).  As discussed, this will create disincentives for transmission owners to cooperate with ISO-NE and generators in coordinating their planned transmission outages.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As recognized by the ISO-NE in its filing, the essence of congestion management is the implementation of locational energy pricing </w:t>
      </w:r>
      <w:r>
        <w:rPr>
          <w:i/>
        </w:rPr>
        <w:t>in tandem with</w:t>
      </w:r>
      <w:r>
        <w:rPr/>
        <w:t xml:space="preserve"> the creation of FCRs.  FCRs produce revenues equal to the locational price difference between the source and sink, thereby enabling  load serving entities to hedge the risk of transmission congestion costs, not all of which are predictable or controllable.  This provides the necessary assurance that allows them to enter into firm price obligations.  </w:t>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On the other hand, locational pricing without FCRs will lead to congestion costs without the ability to hedge them.  Without FCRs, when a generator trips off-line or a line goes out of service, the locational price for energy at a given location can suddenly increase dramatically.  By purchasing an FCR, the entity serving a load at that location can protect itself and manage price volatility for its customers.  Without this ability to hedge and thereby manage price risk, suppliers will be averse to offering customers fixed prices.  Suppliers that have already entered into such arrangements will suddenly find themselves exposed to costs over which they have no control, contrary to the very cost causation principle espoused by the Indicated Utilities.  This state of affairs will slow the development of competitive markets in general, which is all the more troubling in New England where participation in retail open-access markets is just beginning.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We do not disagree with the Indicated Utilities' and the ISO-NE's contention that the recent and dramatic increase in congestion costs in New England should be addressed.  However, by implementing locational prices prior to creating FCRs, the Indicated Utilities propose to shift these costs to someone else </w:t>
      </w:r>
      <w:r>
        <w:rPr>
          <w:rFonts w:cs="WP TypographicSymbols" w:ascii="WP TypographicSymbols" w:hAnsi="WP TypographicSymbols"/>
        </w:rPr>
        <w:t>B</w:t>
      </w:r>
      <w:r>
        <w:rPr/>
        <w:t xml:space="preserve"> the load serving entities </w:t>
      </w:r>
      <w:r>
        <w:rPr>
          <w:rFonts w:cs="WP TypographicSymbols" w:ascii="WP TypographicSymbols" w:hAnsi="WP TypographicSymbols"/>
        </w:rPr>
        <w:t>B</w:t>
      </w:r>
      <w:r>
        <w:rPr/>
        <w:t xml:space="preserve"> without fundamentally addressing the underlying causes, such as uncoordinated outages.  This is particularly egregious since the load serving entities are even less able </w:t>
      </w:r>
      <w:r>
        <w:rPr>
          <w:rFonts w:cs="WP TypographicSymbols" w:ascii="WP TypographicSymbols" w:hAnsi="WP TypographicSymbols"/>
        </w:rPr>
        <w:t>B</w:t>
      </w:r>
      <w:r>
        <w:rPr/>
        <w:t xml:space="preserve"> indeed unable </w:t>
      </w:r>
      <w:r>
        <w:rPr>
          <w:rFonts w:cs="WP TypographicSymbols" w:ascii="WP TypographicSymbols" w:hAnsi="WP TypographicSymbols"/>
        </w:rPr>
        <w:t>B</w:t>
      </w:r>
      <w:r>
        <w:rPr/>
        <w:t xml:space="preserve"> to control the transmission and generation outages that are causing the congestion than are the Indicated Utilities themselves.  This will inevitably stymie increased entry by new load serving entities in New England's restructured retail markets.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For these reasons, the Commission should reject the proposals of the Indicated Utilities and the ISO-NE and instead continue the interim treatment of congestion costs that is currently in place.</w:t>
      </w:r>
      <w:r>
        <w:rPr>
          <w:rStyle w:val="FootnoteCharacters"/>
          <w:rStyle w:val="FootnoteReference"/>
          <w:vertAlign w:val="superscript"/>
        </w:rPr>
        <w:footnoteReference w:id="16"/>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i/>
          <w:i/>
          <w:sz w:val="26"/>
        </w:rPr>
      </w:pPr>
      <w:r>
        <w:rPr>
          <w:b/>
          <w:i/>
          <w:sz w:val="26"/>
        </w:rPr>
        <w:t>B.</w:t>
        <w:tab/>
        <w:t xml:space="preserve">The Supporting Generators' Request to Receive a Portion of the FCR Revenues Should Be Rejected Because the Generators Will Not Be at Risk for the Congestion Costs under the ISO-NE's Locational Marginal Cost Proposal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The Supporting Generators propose that existing generators that interconnected with the NEPOOL grid when the full integration standard was in effect should be provided a permanent share of the FCRs (and the corresponding Auction Revenue Rights ("ARR")).  </w:t>
      </w:r>
      <w:r>
        <w:rPr>
          <w:i/>
        </w:rPr>
        <w:t xml:space="preserve">Supporting Generators' Trans. Ltr. </w:t>
      </w:r>
      <w:r>
        <w:rPr/>
        <w:t xml:space="preserve">at 7.  This proposal is misguided and should be rejected.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Under the proposed full integration standard, a firm transmission path between each new generator and </w:t>
      </w:r>
      <w:r>
        <w:rPr>
          <w:i/>
        </w:rPr>
        <w:t>every</w:t>
      </w:r>
      <w:r>
        <w:rPr/>
        <w:t xml:space="preserve"> load in NEPOOL had to be established whenever a new generator sought to interconnect with the NEPOOL grid.  </w:t>
      </w:r>
      <w:r>
        <w:rPr>
          <w:i/>
        </w:rPr>
        <w:t>New England Power Pool</w:t>
      </w:r>
      <w:r>
        <w:rPr/>
        <w:t xml:space="preserve">, 87 F.E.R.C. </w:t>
      </w:r>
      <w:r>
        <w:rPr>
          <w:rFonts w:cs="WP TypographicSymbols" w:ascii="WP TypographicSymbols" w:hAnsi="WP TypographicSymbols"/>
        </w:rPr>
        <w:t>&amp;</w:t>
      </w:r>
      <w:r>
        <w:rPr/>
        <w:t xml:space="preserve"> 61,043 at 61,184 (1999)(emphasis added).  The Commission rejected this requirement in </w:t>
      </w:r>
      <w:r>
        <w:rPr>
          <w:i/>
        </w:rPr>
        <w:t>New England Power Pool</w:t>
      </w:r>
      <w:r>
        <w:rPr/>
        <w:t xml:space="preserve">, 85 F.E.R.C. </w:t>
      </w:r>
      <w:r>
        <w:rPr>
          <w:rFonts w:cs="WP TypographicSymbols" w:ascii="WP TypographicSymbols" w:hAnsi="WP TypographicSymbols"/>
        </w:rPr>
        <w:t>&amp;</w:t>
      </w:r>
      <w:r>
        <w:rPr/>
        <w:t xml:space="preserve"> 61,141 at 61,550-52 (1998), finding it to be "unnecessary" and that "there [would] no longer be a linking of a particular generator to a particular load under NEPOOL's restructuring proposal." </w:t>
      </w:r>
      <w:r>
        <w:rPr>
          <w:i/>
        </w:rPr>
        <w:t>Id.</w:t>
      </w:r>
      <w:r>
        <w:rPr/>
        <w:t xml:space="preserve">  In rejecting the full integration standard, the Commission determined that new generators should be permitted to interconnect to the NEPOOL grid on a minimal basis without having to relieve all congestion on the grid.  Further, the Commission rejected the "assumption that each generator will have an exclusive and unconstrained firm path to reach every load in NEPOOL."  </w:t>
      </w:r>
      <w:r>
        <w:rPr>
          <w:i/>
        </w:rPr>
        <w:t>Id.</w:t>
      </w:r>
      <w:r>
        <w:rPr/>
        <w:t xml:space="preserve"> at 61,551-52.</w:t>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In this proceeding, the Supporting Generators nevertheless argue that they are entitled to a share of the FCR revenues because they had purportedly relied on the full integration standard to remedy the locational inefficiencies of their plants.  In fact, the generators could not have properly relied upon the full integration standard, because it was never approved by the Commission.</w:t>
      </w:r>
      <w:r>
        <w:rPr>
          <w:rStyle w:val="FootnoteCharacters"/>
          <w:rStyle w:val="FootnoteReference"/>
          <w:vertAlign w:val="superscript"/>
        </w:rPr>
        <w:footnoteReference w:id="17"/>
      </w:r>
      <w:r>
        <w:rPr/>
        <w:t xml:space="preserve">  To the contrary, not only had the full integration been rejected by the Commission, as discussed, but it was had also been rejected by the United States District Court for the Southern District of New York.  </w:t>
      </w:r>
      <w:r>
        <w:rPr>
          <w:i/>
        </w:rPr>
        <w:t>See</w:t>
      </w:r>
      <w:r>
        <w:rPr/>
        <w:t xml:space="preserve"> </w:t>
      </w:r>
      <w:r>
        <w:rPr>
          <w:i/>
        </w:rPr>
        <w:t>FPL Energy Maine, Inc. v. Central Maine Power Company</w:t>
      </w:r>
      <w:r>
        <w:rPr/>
        <w:t xml:space="preserve">, 1999 U.S. Dist. LEXIS 3731 (SD NY 1999) (district court found that FPL Energy Maine, Inc. was  not entitled to be relieved of its contractual obligation to purchase generators in Maine, dismissing argument that the rejection of the full integration standard had undermined its expectations at the time it entered into contract). </w:t>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Nor is it correct to say, as do the Supporting Generators, that the eventual demise of  historical interconnection standards or the proposed full integration standard was not prudently forseeable.  Other entities in New England foresaw the evolution of the market and made the assessment not to purchase the inefficient generators that apparently were purchased by the Supporting Generators.  The Supporting Generators now seek to be relieved of their inaccurate judgements in purchasing these facilities by sharing in the FCR revenues.  Contrary to this request, it is not the Commission's practice to bail out imprudent business decisions.  </w:t>
      </w:r>
      <w:r>
        <w:rPr>
          <w:i/>
        </w:rPr>
        <w:t>See, e.g.</w:t>
      </w:r>
      <w:r>
        <w:rPr/>
        <w:t xml:space="preserve">, </w:t>
      </w:r>
      <w:r>
        <w:rPr>
          <w:i/>
        </w:rPr>
        <w:t>Southern Natural Gas Co.</w:t>
      </w:r>
      <w:r>
        <w:rPr/>
        <w:t xml:space="preserve">, 79 F.E.R.C. </w:t>
      </w:r>
      <w:r>
        <w:rPr>
          <w:rFonts w:cs="WP TypographicSymbols" w:ascii="WP TypographicSymbols" w:hAnsi="WP TypographicSymbols"/>
        </w:rPr>
        <w:t>&amp;</w:t>
      </w:r>
      <w:r>
        <w:rPr/>
        <w:t xml:space="preserve"> 61,280 at 62,209 (1997)(stating policy to permit "greater opportunity for the operation of market forces is based on a belief that industry participants generally make business decisions on the basis of sufficient and accurate information"); </w:t>
      </w:r>
      <w:r>
        <w:rPr>
          <w:i/>
        </w:rPr>
        <w:t>Vector Pipeline L.P.</w:t>
      </w:r>
      <w:r>
        <w:rPr/>
        <w:t xml:space="preserve">, 89 F.E.R.C. </w:t>
      </w:r>
      <w:r>
        <w:rPr>
          <w:rFonts w:cs="WP TypographicSymbols" w:ascii="WP TypographicSymbols" w:hAnsi="WP TypographicSymbols"/>
        </w:rPr>
        <w:t>&amp;</w:t>
      </w:r>
      <w:r>
        <w:rPr/>
        <w:t xml:space="preserve"> 61,242 at 61,714 (1999)(stating that "[t]he Commission generally does not second guess the company's business decisions" and noting that "[t]he court has affirmed this presumption" in </w:t>
      </w:r>
      <w:r>
        <w:rPr>
          <w:i/>
        </w:rPr>
        <w:t>Associated Gas Distributors v. FERC</w:t>
      </w:r>
      <w:r>
        <w:rPr/>
        <w:t xml:space="preserve">, 824 F.2d 981, 1033-36 (D.C. Cir. 1986)).  Furthermore, despite the Supporting Generators' assertions that they paid for the reliability of the transmission grid, the NEPOOL transmission system was built and paid for by NEPOOL load.  Thus, there is no "rough justice," </w:t>
      </w:r>
      <w:r>
        <w:rPr>
          <w:i/>
        </w:rPr>
        <w:t>Supporting Generators' Trans. Ltr.</w:t>
      </w:r>
      <w:r>
        <w:rPr/>
        <w:t xml:space="preserve"> at 36, in denying the NEPOOL load the full benefits of FCRs.</w:t>
      </w:r>
      <w:r>
        <w:rPr>
          <w:rStyle w:val="FootnoteCharacters"/>
          <w:rStyle w:val="FootnoteReference"/>
          <w:vertAlign w:val="superscript"/>
        </w:rPr>
        <w:footnoteReference w:id="18"/>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The Supporting Generators' proposal is also conceptually flawed because it presents no correlation between investments made in generating units and their attempt here to obtain congestion-free access to the NEPOOL grid (</w:t>
      </w:r>
      <w:r>
        <w:rPr>
          <w:i/>
        </w:rPr>
        <w:t>i.e.</w:t>
      </w:r>
      <w:r>
        <w:rPr/>
        <w:t xml:space="preserve">, by replicating the full integration standard) with FCRs, whose purpose is to permit market participants to hedge the risk of the high </w:t>
      </w:r>
      <w:r>
        <w:rPr>
          <w:i/>
        </w:rPr>
        <w:t>transmission</w:t>
      </w:r>
      <w:r>
        <w:rPr/>
        <w:t xml:space="preserve"> congestion costs, not to protect prior investments in generation.  In the ISO-NE end-state, entities responsible for the congestion costs </w:t>
      </w:r>
      <w:r>
        <w:rPr>
          <w:rFonts w:cs="WP TypographicSymbols" w:ascii="WP TypographicSymbols" w:hAnsi="WP TypographicSymbols"/>
        </w:rPr>
        <w:t>B</w:t>
      </w:r>
      <w:r>
        <w:rPr/>
        <w:t xml:space="preserve"> </w:t>
      </w:r>
      <w:r>
        <w:rPr>
          <w:i/>
        </w:rPr>
        <w:t>i.e.</w:t>
      </w:r>
      <w:r>
        <w:rPr/>
        <w:t xml:space="preserve">, the load serving entities </w:t>
      </w:r>
      <w:r>
        <w:rPr>
          <w:rFonts w:cs="WP TypographicSymbols" w:ascii="WP TypographicSymbols" w:hAnsi="WP TypographicSymbols"/>
        </w:rPr>
        <w:t>B</w:t>
      </w:r>
      <w:r>
        <w:rPr/>
        <w:t xml:space="preserve"> are the ones that are directly affected by any congestion risk on the transmission system, not the Supporting Generators.  As a result, it is entirely fair to allocate all of the FCRs and ARRs to the load serving entities that will pay the congestion costs who, it should be noted, have no control over the congestion.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Without this complete allocation of FCR auction revenues to load serving entities, competition in the generation market will be skewed and new, more efficient generation will be placed at a competitive disadvantage vis-a-vis existing inefficient generators that would receive these subsidies.  The allocation of FCR revenues to the Supporting Generators will allow inefficient generators to artificially lower their costs and compete for loads with the load serving entities that will pay the congestion costs.  The Supporting Generators' proposal thus seeks to undermine the operation of fundamental market principles under which generation that can operate more cost effectively should be encouraged.  </w:t>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At bottom, therefore, the motivation behind the Supporting Generators' proposal is based on a desire for a regulatory shield from the natural consequences of owning inefficient and uncompetitive generation that cannot compete with newer, more efficient generation that is coming on line today. The Supporting Generators' proposal would thus have the defect of providing them with a windfall that they do not deserve.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all of these reasons, the Supporting Generators' proposal that they should share in the FCR and ARR revenues should be rejected.  The ISO-NE's proposal to allocate FCRs and ARRs entirely to the load serving entities that pay congestion costs should be accepted.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VII.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8"/>
        </w:rPr>
      </w:pPr>
      <w:r>
        <w:rPr>
          <w:b/>
          <w:sz w:val="28"/>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 xml:space="preserve">For the foregoing reasons, the Joint Intervenors move the Commission to grant their intervention and protest.  We request the Commission to approve the ISO-NE's proposal in these proceedings, including the elimination of the In-Service requirement under Section 22A of its tariff, with two exceptions.  Specifically, the Commission should eliminate ICAP and the In-Service requirement of Section 22A of NEPOOL's Tariff effective June 1, 2000, when the first phase of the ISO-NE's reforms take effect, rather than on January 1, 2002 as the ISO-NE proposes.  We also request the Commission to reject the proposal of the Indicated Utilities and require the ISO-NE to implement FCRs at the same time that it implements its locational marginal costs mechanism.  </w:t>
      </w:r>
    </w:p>
    <w:p>
      <w:pPr>
        <w:sectPr>
          <w:footnotePr>
            <w:numFmt w:val="decimal"/>
          </w:footnotePr>
          <w:type w:val="continuous"/>
          <w:pgSz w:w="12240" w:h="15840"/>
          <w:pgMar w:left="1440" w:right="1440" w:gutter="0" w:header="1008" w:top="1064" w:footer="0" w:bottom="7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pPr>
      <w:r>
        <w:rPr/>
        <w:t>Finally, we submit that the proposal of the Supporting Generators to share in the allocation of FCR revenues should be rejected.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________________________________</w:t>
        <w:tab/>
        <w:tab/>
        <w:tab/>
        <w:tab/>
        <w:tab/>
        <w:tab/>
        <w:tab/>
        <w:t>Jeffrey D. Watkiss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Andrea M. Settanni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18"/>
        </w:rPr>
      </w:pPr>
      <w:r>
        <w:rPr>
          <w:sz w:val="18"/>
        </w:rPr>
        <w:t>A Registered Limited Liability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2000 K Street, N.W., Suite 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Washington, DC   20006-1872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(202) 828-5800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Counsel for Joint Intervenors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footnotePr>
            <w:numFmt w:val="decimal"/>
          </w:footnotePr>
          <w:type w:val="nextPage"/>
          <w:pgSz w:w="12240" w:h="15840"/>
          <w:pgMar w:left="1440" w:right="1440" w:gutter="0" w:header="1008" w:top="1064" w:footer="0" w:bottom="72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April 25,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30"/>
        </w:rPr>
        <w:tab/>
      </w:r>
      <w:r>
        <w:rPr>
          <w:b/>
          <w:sz w:val="30"/>
        </w:rPr>
        <w:t>UNITED STATES OF AMERICA</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30"/>
        </w:rPr>
      </w:pPr>
      <w:r>
        <w:rPr>
          <w:b/>
          <w:sz w:val="30"/>
        </w:rPr>
        <w:tab/>
        <w:t>BEFORE THE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30"/>
        </w:rPr>
      </w:pPr>
      <w:r>
        <w:rPr>
          <w:b/>
          <w:sz w:val="30"/>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4320" w:end="0"/>
        <w:jc w:val="both"/>
        <w:rPr/>
      </w:pPr>
      <w:r>
        <w:rPr/>
        <w:t>ISO New England</w:t>
        <w:tab/>
        <w:tab/>
        <w:tab/>
        <w:tab/>
        <w:t>)</w:t>
        <w:tab/>
        <w:t>Docket Nos. EL00-62-000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tab/>
        <w:t>ER00-2052-000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pPr>
      <w:r>
        <w:rPr/>
        <w:t>New England Power Pool</w:t>
        <w:tab/>
        <w:tab/>
        <w:tab/>
        <w:t>)</w:t>
        <w:tab/>
        <w:t>Docket No.   ER00-2016-000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Central Maine Power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pPr>
      <w:r>
        <w:rPr/>
        <w:t>Northeast Utilities Service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pPr>
      <w:r>
        <w:rPr/>
        <w:t>The United Illuminating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Unitil Power Corp. and Fitchburg Gas</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pPr>
      <w:r>
        <w:rPr/>
        <w:t xml:space="preserve">   </w:t>
      </w:r>
      <w:r>
        <w:rPr/>
        <w:t>and Electric Light Company</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Vermont Electric Power Company, Inc.</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tab/>
        <w:t>Docket Nos.EL00-59-000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5760" w:end="0"/>
        <w:jc w:val="both"/>
        <w:rPr/>
      </w:pPr>
      <w:r>
        <w:rPr/>
        <w:t>)</w:t>
        <w:tab/>
        <w:tab/>
        <w:t>ER00-2005-000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pPr>
      <w:r>
        <w:rPr/>
        <w:t>New England Power Pool and</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0"/>
        <w:jc w:val="both"/>
        <w:rPr/>
      </w:pPr>
      <w:r>
        <w:rPr/>
        <w:t>ISO New England Inc.</w:t>
        <w:tab/>
        <w:tab/>
        <w:tab/>
        <w:t>)</w:t>
        <w:tab/>
        <w:t xml:space="preserve">         (not consolidated)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sz w:val="28"/>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Dated at Washington, D.C., this 25th day of April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t>DC.123328.01</w:t>
      </w:r>
    </w:p>
    <w:sectPr>
      <w:headerReference w:type="default" r:id="rId9"/>
      <w:headerReference w:type="first" r:id="rId10"/>
      <w:footnotePr>
        <w:numFmt w:val="decimal"/>
      </w:footnotePr>
      <w:type w:val="nextPage"/>
      <w:pgSz w:w="12240" w:h="15840"/>
      <w:pgMar w:left="1440" w:right="1440" w:gutter="0" w:header="1008" w:top="10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sz w:val="22"/>
        </w:rPr>
        <w:t xml:space="preserve"> </w:t>
      </w:r>
      <w:r>
        <w:rPr>
          <w:sz w:val="22"/>
        </w:rPr>
        <w:t>Intervenors do not support the implementation of a "nodal" rather than a "zonal" pricing scheme for congestion management.  Much, however, has already been said on this topic and the case for zonal pricing will not be reiterated here.</w:t>
      </w:r>
    </w:p>
  </w:footnote>
  <w:footnote w:id="3">
    <w:p>
      <w:pPr>
        <w:pStyle w:val="Normal"/>
        <w:spacing w:before="0" w:after="240"/>
        <w:ind w:firstLine="720" w:end="0"/>
        <w:jc w:val="both"/>
        <w:rPr/>
      </w:pPr>
      <w:r>
        <w:rPr>
          <w:rStyle w:val="FootnoteCharacters"/>
        </w:rPr>
        <w:footnoteRef/>
      </w:r>
      <w:r>
        <w:rPr>
          <w:sz w:val="22"/>
        </w:rPr>
        <w:t xml:space="preserve"> </w:t>
      </w:r>
      <w:r>
        <w:rPr>
          <w:sz w:val="22"/>
        </w:rPr>
        <w:t xml:space="preserve">The Indicated Utilities are:  Central Maine Power Company, Northeast Indicated Utilities Service Company, The United Illuminating Company, Unitil Power Corp. and Fitchburg Gas and Electric Light Company and Vermont Electric Power Company, Inc. </w:t>
      </w:r>
    </w:p>
  </w:footnote>
  <w:footnote w:id="4">
    <w:p>
      <w:pPr>
        <w:pStyle w:val="Normal"/>
        <w:spacing w:before="0" w:after="240"/>
        <w:ind w:firstLine="720" w:end="0"/>
        <w:jc w:val="both"/>
        <w:rPr/>
      </w:pPr>
      <w:r>
        <w:rPr>
          <w:rStyle w:val="FootnoteCharacters"/>
        </w:rPr>
        <w:footnoteRef/>
      </w:r>
      <w:r>
        <w:rPr>
          <w:sz w:val="22"/>
        </w:rPr>
        <w:t xml:space="preserve"> </w:t>
      </w:r>
      <w:r>
        <w:rPr>
          <w:sz w:val="22"/>
        </w:rPr>
        <w:t>The Supporting Generators are:  PG&amp;E Generating, USGen New England, Inc., PG&amp;E Energy Trading-Power L.P., FPL Energy, LLC., Sithe New England Holdings, LLC, Southern Energy New England, LLC, Wisvest-Connecticut, LLC, Duke Energy North America, LLC, Dighton Power Associates L.P., Tiverton Power Associates, L.P., Rumford Associates, L.P., Great Bay Power Corporation, NRG Power Marketing, Inc., Somerset Power, LLC, Middletown Power, LLC, Norwalk Harbor Power, LLC, Devon Power, LLC, Montville Power, LLC, Connecticut Jet Power, LLC, and Indeck-Pepperell Power Associates, Inc.</w:t>
      </w:r>
    </w:p>
  </w:footnote>
  <w:footnote w:id="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6"/>
        <w:ind w:firstLine="720" w:end="0"/>
        <w:jc w:val="both"/>
        <w:rPr/>
      </w:pPr>
      <w:r>
        <w:rPr>
          <w:rStyle w:val="FootnoteCharacters"/>
        </w:rPr>
        <w:footnoteRef/>
      </w:r>
      <w:r>
        <w:rPr>
          <w:sz w:val="22"/>
        </w:rPr>
        <w:t xml:space="preserve"> </w:t>
      </w:r>
      <w:r>
        <w:rPr>
          <w:sz w:val="22"/>
        </w:rPr>
        <w:t>Formerly Enron Capital &amp; Trade Resources Corp. ("ECT").  Effective September 1, 1999,  ECT changed its name to Enron North America Corp.</w:t>
      </w:r>
    </w:p>
  </w:footnote>
  <w:footnote w:id="6">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6"/>
        <w:ind w:firstLine="720" w:end="0"/>
        <w:jc w:val="both"/>
        <w:rPr/>
      </w:pPr>
      <w:r>
        <w:rPr>
          <w:rStyle w:val="FootnoteCharacters"/>
        </w:rPr>
        <w:footnoteRef/>
      </w:r>
      <w:r>
        <w:rPr/>
        <w:t xml:space="preserve"> </w:t>
      </w:r>
      <w:r>
        <w:rPr>
          <w:sz w:val="22"/>
        </w:rPr>
        <w:t>The other markets are (1) electric energy ("Energy"); (2) Ten-Minute Spinning Reserve ("TMSR"); (3) Automatic Generation Control ("AGC"); (4) Ten-Minute Non-Spinning Reserve ("TMNSR"); (5) Thirty-Minute Operating Reserve ("TMOR").</w:t>
      </w:r>
    </w:p>
  </w:footnote>
  <w:footnote w:id="7">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6"/>
        <w:ind w:firstLine="720" w:end="0"/>
        <w:jc w:val="both"/>
        <w:rPr/>
      </w:pPr>
      <w:r>
        <w:rPr>
          <w:rStyle w:val="FootnoteCharacters"/>
        </w:rPr>
        <w:footnoteRef/>
      </w:r>
      <w:r>
        <w:rPr/>
        <w:t xml:space="preserve"> </w:t>
      </w:r>
      <w:r>
        <w:rPr>
          <w:sz w:val="22"/>
        </w:rPr>
        <w:t xml:space="preserve">OP 4 established the criteria and guides for ISO-NE directed actions during capacity deficiencies that are local, area-wide or in neighboring control areas. OP 4 could be implemented any time one or more of certain enumerated events occurred or were expected to occur. </w:t>
      </w:r>
    </w:p>
  </w:footnote>
  <w:footnote w:id="8">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6"/>
        <w:ind w:firstLine="720" w:end="0"/>
        <w:jc w:val="both"/>
        <w:rPr/>
      </w:pPr>
      <w:r>
        <w:rPr>
          <w:rStyle w:val="FootnoteCharacters"/>
        </w:rPr>
        <w:footnoteRef/>
      </w:r>
      <w:r>
        <w:rPr/>
        <w:t xml:space="preserve"> </w:t>
      </w:r>
      <w:r>
        <w:rPr>
          <w:sz w:val="22"/>
        </w:rPr>
        <w:t xml:space="preserve">On January 19, 2000, ISO-NE made a filing with the Commission in Docket Nos. ER99-2335-000, </w:t>
      </w:r>
      <w:r>
        <w:rPr>
          <w:i/>
          <w:sz w:val="22"/>
        </w:rPr>
        <w:t>et al.</w:t>
      </w:r>
      <w:r>
        <w:rPr>
          <w:sz w:val="22"/>
        </w:rPr>
        <w:t xml:space="preserve">, to support a filing by NEPOOL seeking the elimination of the Operable Capability market. </w:t>
      </w:r>
    </w:p>
  </w:footnote>
  <w:footnote w:id="9">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6"/>
        <w:ind w:firstLine="720" w:end="0"/>
        <w:jc w:val="both"/>
        <w:rPr/>
      </w:pPr>
      <w:r>
        <w:rPr>
          <w:rStyle w:val="FootnoteCharacters"/>
        </w:rPr>
        <w:footnoteRef/>
      </w:r>
      <w:r>
        <w:rPr/>
        <w:t xml:space="preserve"> </w:t>
      </w:r>
      <w:r>
        <w:rPr>
          <w:sz w:val="22"/>
        </w:rPr>
        <w:t xml:space="preserve">On April 13, 2000, the Commission confirmed these conclusions, denying requests for rehearing and noting that "the OpCap market is a redundant market and . . . the appropriate place for generators to receive compensation is in the Operating Reserve and Energy markets."  </w:t>
      </w:r>
      <w:r>
        <w:rPr>
          <w:i/>
          <w:sz w:val="22"/>
        </w:rPr>
        <w:t>New England Power Pool</w:t>
      </w:r>
      <w:r>
        <w:rPr>
          <w:sz w:val="22"/>
        </w:rPr>
        <w:t xml:space="preserve">, 91 F.E.R.C. </w:t>
      </w:r>
      <w:r>
        <w:rPr>
          <w:rFonts w:cs="WP TypographicSymbols" w:ascii="WP TypographicSymbols" w:hAnsi="WP TypographicSymbols"/>
          <w:sz w:val="22"/>
        </w:rPr>
        <w:t>&amp;</w:t>
      </w:r>
      <w:r>
        <w:rPr>
          <w:sz w:val="22"/>
        </w:rPr>
        <w:t xml:space="preserve"> 61,045, </w:t>
      </w:r>
      <w:r>
        <w:rPr>
          <w:i/>
          <w:sz w:val="22"/>
        </w:rPr>
        <w:t>slip op.</w:t>
      </w:r>
      <w:r>
        <w:rPr>
          <w:sz w:val="22"/>
        </w:rPr>
        <w:t xml:space="preserve"> at 3.</w:t>
      </w:r>
    </w:p>
  </w:footnote>
  <w:footnote w:id="10">
    <w:p>
      <w:pPr>
        <w:pStyle w:val="Normal"/>
        <w:ind w:firstLine="720" w:end="0"/>
        <w:jc w:val="both"/>
        <w:rPr/>
      </w:pPr>
      <w:r>
        <w:rPr>
          <w:rStyle w:val="FootnoteCharacters"/>
        </w:rPr>
        <w:footnoteRef/>
      </w:r>
      <w:r>
        <w:rPr>
          <w:sz w:val="22"/>
        </w:rPr>
        <w:t xml:space="preserve">  </w:t>
      </w:r>
      <w:r>
        <w:rPr>
          <w:i/>
          <w:sz w:val="22"/>
        </w:rPr>
        <w:t>See</w:t>
      </w:r>
      <w:r>
        <w:rPr>
          <w:sz w:val="22"/>
        </w:rPr>
        <w:t xml:space="preserve"> New England Power Pool, Compliance Filing, Docket No. ER98-3853-000, July 22, 1998.</w:t>
      </w:r>
    </w:p>
    <w:p>
      <w:pPr>
        <w:pStyle w:val="Normal"/>
        <w:jc w:val="both"/>
        <w:rPr>
          <w:sz w:val="22"/>
        </w:rPr>
      </w:pPr>
      <w:r>
        <w:rPr>
          <w:sz w:val="22"/>
        </w:rPr>
      </w:r>
    </w:p>
  </w:footnote>
  <w:footnote w:id="11">
    <w:p>
      <w:pPr>
        <w:pStyle w:val="Normal"/>
        <w:ind w:firstLine="720" w:end="0"/>
        <w:jc w:val="both"/>
        <w:rPr/>
      </w:pPr>
      <w:r>
        <w:rPr>
          <w:rStyle w:val="FootnoteCharacters"/>
        </w:rPr>
        <w:footnoteRef/>
      </w:r>
      <w:r>
        <w:rPr>
          <w:sz w:val="22"/>
        </w:rPr>
        <w:t xml:space="preserve"> </w:t>
      </w:r>
      <w:r>
        <w:rPr>
          <w:sz w:val="22"/>
        </w:rPr>
        <w:t xml:space="preserve">It should be noted that the proposed standard was more stringent than that historically used in NEPOOL, as recognized by the Commission in its October 29, 1998 order regarding the proposed full integration standard, where it stated that in the past, "any utility seeking to rely on remote generating resources was required to make arrangements for a firm transmission path between its remote resource and its specific load.  It appears that this practice has not [i.e., under the proposed full integration standard] been redefined as a requirement to expand the transmission system to ensure a firm path between each new generator and every load in NEPOOL because there is no longer a matching between generator and load as was the case in the past, </w:t>
      </w:r>
      <w:r>
        <w:rPr>
          <w:i/>
          <w:sz w:val="22"/>
        </w:rPr>
        <w:t>i.e.</w:t>
      </w:r>
      <w:r>
        <w:rPr>
          <w:sz w:val="22"/>
        </w:rPr>
        <w:t xml:space="preserve">, generators will now sell through the NEPOOL PX to all loads in NEPOOL."  </w:t>
      </w:r>
      <w:r>
        <w:rPr>
          <w:i/>
          <w:sz w:val="22"/>
        </w:rPr>
        <w:t>New England Power Pool</w:t>
      </w:r>
      <w:r>
        <w:rPr>
          <w:sz w:val="22"/>
        </w:rPr>
        <w:t xml:space="preserve">, 85 F.E.R.C. </w:t>
      </w:r>
      <w:r>
        <w:rPr>
          <w:rFonts w:cs="WP TypographicSymbols" w:ascii="WP TypographicSymbols" w:hAnsi="WP TypographicSymbols"/>
          <w:sz w:val="22"/>
        </w:rPr>
        <w:t>&amp;</w:t>
      </w:r>
      <w:r>
        <w:rPr>
          <w:sz w:val="22"/>
        </w:rPr>
        <w:t xml:space="preserve"> 61,141 at 61,551 (1998). </w:t>
      </w:r>
    </w:p>
  </w:footnote>
  <w:footnote w:id="12">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22"/>
        <w:ind w:firstLine="720" w:end="0"/>
        <w:jc w:val="both"/>
        <w:rPr/>
      </w:pPr>
      <w:r>
        <w:rPr>
          <w:rStyle w:val="FootnoteCharacters"/>
        </w:rPr>
        <w:footnoteRef/>
      </w:r>
      <w:r>
        <w:rPr/>
        <w:t xml:space="preserve"> </w:t>
      </w:r>
      <w:r>
        <w:rPr>
          <w:sz w:val="22"/>
        </w:rPr>
        <w:t>Mr. Adamson fails to mention the Nordic pool, which likewise operates with a high level of reliability without the equivalent of an ICAP obligation.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22"/>
        <w:ind w:firstLine="720" w:end="0"/>
        <w:jc w:val="both"/>
        <w:rPr/>
      </w:pPr>
      <w:r>
        <w:rPr/>
      </w:r>
    </w:p>
  </w:footnote>
  <w:footnote w:id="13">
    <w:p>
      <w:pPr>
        <w:pStyle w:val="Normal"/>
        <w:ind w:firstLine="720" w:end="0"/>
        <w:jc w:val="both"/>
        <w:rPr/>
      </w:pPr>
      <w:r>
        <w:rPr>
          <w:rStyle w:val="FootnoteCharacters"/>
        </w:rPr>
        <w:footnoteRef/>
      </w:r>
      <w:r>
        <w:rPr>
          <w:sz w:val="22"/>
        </w:rPr>
        <w:t xml:space="preserve">   </w:t>
      </w:r>
      <w:r>
        <w:rPr>
          <w:i/>
          <w:sz w:val="22"/>
        </w:rPr>
        <w:t xml:space="preserve">See </w:t>
      </w:r>
      <w:r>
        <w:rPr>
          <w:sz w:val="22"/>
        </w:rPr>
        <w:t xml:space="preserve">Peter J. Howe, </w:t>
      </w:r>
      <w:r>
        <w:rPr>
          <w:i/>
          <w:sz w:val="22"/>
        </w:rPr>
        <w:t>Utility Group to Look at Abolishing Market</w:t>
      </w:r>
      <w:r>
        <w:rPr>
          <w:sz w:val="22"/>
        </w:rPr>
        <w:t xml:space="preserve">, BOSTON GLOBE, April 8, 2000, at C1; Peter J. Howe, </w:t>
      </w:r>
      <w:r>
        <w:rPr>
          <w:i/>
          <w:sz w:val="22"/>
        </w:rPr>
        <w:t>Utility: End One Power Market Seeks Abolishment amid Price-Fixing Allegations</w:t>
      </w:r>
      <w:r>
        <w:rPr>
          <w:sz w:val="22"/>
        </w:rPr>
        <w:t xml:space="preserve">, BOSTON GLOBE, April 7, 2000, at C1; Peter J. Howe, </w:t>
      </w:r>
      <w:r>
        <w:rPr>
          <w:i/>
          <w:sz w:val="22"/>
        </w:rPr>
        <w:t>ISO Voids Jan. Wholesale power Market Prices, Eyes Probe</w:t>
      </w:r>
      <w:r>
        <w:rPr>
          <w:sz w:val="22"/>
        </w:rPr>
        <w:t xml:space="preserve">, BOSTON GLOBE, April 4, 2000, at D3; and James Covert, </w:t>
      </w:r>
      <w:r>
        <w:rPr>
          <w:i/>
          <w:sz w:val="22"/>
        </w:rPr>
        <w:t>New England Power User Faults Market Tampering in $25 Million Loss</w:t>
      </w:r>
      <w:r>
        <w:rPr>
          <w:sz w:val="22"/>
        </w:rPr>
        <w:t>, Dow Jones Energy Service, April 11, 2000 (copies of which are attached in Appendix C).</w:t>
      </w:r>
    </w:p>
  </w:footnote>
  <w:footnote w:id="14">
    <w:p>
      <w:pPr>
        <w:pStyle w:val="Normal"/>
        <w:ind w:firstLine="720" w:end="0"/>
        <w:jc w:val="both"/>
        <w:rPr/>
      </w:pPr>
      <w:r>
        <w:rPr>
          <w:rStyle w:val="FootnoteCharacters"/>
        </w:rPr>
        <w:footnoteRef/>
      </w:r>
      <w:r>
        <w:rPr>
          <w:sz w:val="22"/>
        </w:rPr>
        <w:t xml:space="preserve"> </w:t>
      </w:r>
      <w:r>
        <w:rPr>
          <w:sz w:val="22"/>
        </w:rPr>
        <w:t xml:space="preserve">The discussion in this section should be treated as both a protest and an answer pursuant to 28 C.F.R. </w:t>
      </w:r>
      <w:r>
        <w:rPr>
          <w:rFonts w:cs="WP TypographicSymbols" w:ascii="WP TypographicSymbols" w:hAnsi="WP TypographicSymbols"/>
          <w:sz w:val="22"/>
        </w:rPr>
        <w:t>''</w:t>
      </w:r>
      <w:r>
        <w:rPr>
          <w:sz w:val="22"/>
        </w:rPr>
        <w:t> 385.211 and 385.213, respectively.  </w:t>
      </w:r>
    </w:p>
  </w:footnote>
  <w:footnote w:id="15">
    <w:p>
      <w:pPr>
        <w:pStyle w:val="Normal"/>
        <w:ind w:firstLine="720" w:end="0"/>
        <w:jc w:val="both"/>
        <w:rPr/>
      </w:pPr>
      <w:r>
        <w:rPr>
          <w:rStyle w:val="FootnoteCharacters"/>
        </w:rPr>
        <w:footnoteRef/>
      </w:r>
      <w:r>
        <w:rPr>
          <w:sz w:val="22"/>
        </w:rPr>
        <w:t xml:space="preserve">  </w:t>
      </w:r>
      <w:r>
        <w:rPr>
          <w:sz w:val="22"/>
        </w:rPr>
        <w:t xml:space="preserve">FCRs, which are similar to the Transmission Congestion Contracts in NYPP, the Financial Transmission Rights in PJM, and Firm Transmission Rights, have been accepted by the Commission as a necessary concomitant of a workable open access transmission market.  </w:t>
      </w:r>
      <w:r>
        <w:rPr>
          <w:i/>
          <w:sz w:val="22"/>
        </w:rPr>
        <w:t>California Independent System Operator Corp.</w:t>
      </w:r>
      <w:r>
        <w:rPr>
          <w:sz w:val="22"/>
        </w:rPr>
        <w:t xml:space="preserve">, 87 F.E.R.C. </w:t>
      </w:r>
      <w:r>
        <w:rPr>
          <w:rFonts w:cs="WP TypographicSymbols" w:ascii="WP TypographicSymbols" w:hAnsi="WP TypographicSymbols"/>
          <w:sz w:val="22"/>
        </w:rPr>
        <w:t>&amp;</w:t>
      </w:r>
      <w:r>
        <w:rPr>
          <w:sz w:val="22"/>
        </w:rPr>
        <w:t xml:space="preserve"> 61,143, </w:t>
      </w:r>
      <w:r>
        <w:rPr>
          <w:i/>
          <w:sz w:val="22"/>
        </w:rPr>
        <w:t>order on reh'g</w:t>
      </w:r>
      <w:r>
        <w:rPr>
          <w:sz w:val="22"/>
        </w:rPr>
        <w:t xml:space="preserve"> 88 F.E.R.C. </w:t>
      </w:r>
      <w:r>
        <w:rPr>
          <w:rFonts w:cs="WP TypographicSymbols" w:ascii="WP TypographicSymbols" w:hAnsi="WP TypographicSymbols"/>
          <w:sz w:val="22"/>
        </w:rPr>
        <w:t>&amp;</w:t>
      </w:r>
      <w:r>
        <w:rPr>
          <w:sz w:val="22"/>
        </w:rPr>
        <w:t xml:space="preserve"> 61,156 (1999); </w:t>
      </w:r>
      <w:r>
        <w:rPr>
          <w:i/>
          <w:sz w:val="22"/>
        </w:rPr>
        <w:t>Central Hudson Gas &amp; Electric Corp.</w:t>
      </w:r>
      <w:r>
        <w:rPr>
          <w:sz w:val="22"/>
        </w:rPr>
        <w:t xml:space="preserve">, 83 F.E.R.C. </w:t>
      </w:r>
      <w:r>
        <w:rPr>
          <w:rFonts w:cs="WP TypographicSymbols" w:ascii="WP TypographicSymbols" w:hAnsi="WP TypographicSymbols"/>
          <w:sz w:val="22"/>
        </w:rPr>
        <w:t>&amp;</w:t>
      </w:r>
      <w:r>
        <w:rPr>
          <w:sz w:val="22"/>
        </w:rPr>
        <w:t xml:space="preserve"> 61,352 (1998); </w:t>
      </w:r>
      <w:r>
        <w:rPr>
          <w:i/>
          <w:sz w:val="22"/>
        </w:rPr>
        <w:t>Pennsylvania-New Jersey-Maryland Interconnection</w:t>
      </w:r>
      <w:r>
        <w:rPr>
          <w:sz w:val="22"/>
        </w:rPr>
        <w:t xml:space="preserve">, 81 F.E.R.C. </w:t>
      </w:r>
      <w:r>
        <w:rPr>
          <w:rFonts w:cs="WP TypographicSymbols" w:ascii="WP TypographicSymbols" w:hAnsi="WP TypographicSymbols"/>
          <w:sz w:val="22"/>
        </w:rPr>
        <w:t>&amp;</w:t>
      </w:r>
      <w:r>
        <w:rPr>
          <w:sz w:val="22"/>
        </w:rPr>
        <w:t> 61,257 (1997).</w:t>
      </w:r>
    </w:p>
  </w:footnote>
  <w:footnote w:id="16">
    <w:p>
      <w:pPr>
        <w:pStyle w:val="Normal"/>
        <w:ind w:firstLine="720" w:end="0"/>
        <w:jc w:val="both"/>
        <w:rPr/>
      </w:pPr>
      <w:r>
        <w:rPr>
          <w:rStyle w:val="FootnoteCharacters"/>
        </w:rPr>
        <w:footnoteRef/>
      </w:r>
      <w:r>
        <w:rPr>
          <w:sz w:val="22"/>
        </w:rPr>
        <w:t xml:space="preserve">  </w:t>
      </w:r>
      <w:r>
        <w:rPr>
          <w:sz w:val="22"/>
        </w:rPr>
        <w:t xml:space="preserve">At the same time, the Commission should direct the ISO-NE to investigate the cause of this sudden and startling increase in congestion costs and to address the root problem, just as it has directed the California Independent System Operator Corporation to investigate congestion in California.  </w:t>
      </w:r>
      <w:r>
        <w:rPr>
          <w:i/>
          <w:sz w:val="22"/>
        </w:rPr>
        <w:t>See California Independent System Operator Corp.</w:t>
      </w:r>
      <w:r>
        <w:rPr>
          <w:sz w:val="22"/>
        </w:rPr>
        <w:t xml:space="preserve">, 90 F.E.R.C. </w:t>
      </w:r>
      <w:r>
        <w:rPr>
          <w:rFonts w:cs="WP TypographicSymbols" w:ascii="WP TypographicSymbols" w:hAnsi="WP TypographicSymbols"/>
          <w:sz w:val="22"/>
        </w:rPr>
        <w:t>&amp;</w:t>
      </w:r>
      <w:r>
        <w:rPr>
          <w:sz w:val="22"/>
        </w:rPr>
        <w:t xml:space="preserve"> 61,006 at 61,013-14 &amp; n.16 (2000), </w:t>
      </w:r>
      <w:r>
        <w:rPr>
          <w:i/>
          <w:sz w:val="22"/>
        </w:rPr>
        <w:t>citing Regional Transmission Organizations</w:t>
      </w:r>
      <w:r>
        <w:rPr>
          <w:sz w:val="22"/>
        </w:rPr>
        <w:t xml:space="preserve">, Order No. 2000, 89 F.E.R.C. </w:t>
      </w:r>
      <w:r>
        <w:rPr>
          <w:rFonts w:cs="WP TypographicSymbols" w:ascii="WP TypographicSymbols" w:hAnsi="WP TypographicSymbols"/>
          <w:sz w:val="22"/>
        </w:rPr>
        <w:t>&amp;</w:t>
      </w:r>
      <w:r>
        <w:rPr>
          <w:sz w:val="22"/>
        </w:rPr>
        <w:t> 61,285 (1999)</w:t>
      </w:r>
      <w:r>
        <w:rPr>
          <w:i/>
          <w:sz w:val="22"/>
        </w:rPr>
        <w:t xml:space="preserve">. </w:t>
      </w:r>
      <w:r>
        <w:rPr>
          <w:sz w:val="22"/>
        </w:rPr>
        <w:t xml:space="preserve"> One potential explanation for the recent increase in congestion, as suggested by the Indicated Utilities, may be a lack of coordination of planned transmission and generation outages.  The ISO-NE should be directed to investigate whether it should coordinate planned outages in order to minimize impacts in the energy market.</w:t>
      </w:r>
    </w:p>
  </w:footnote>
  <w:footnote w:id="17">
    <w:p>
      <w:pPr>
        <w:pStyle w:val="Normal"/>
        <w:ind w:firstLine="720" w:end="0"/>
        <w:jc w:val="both"/>
        <w:rPr/>
      </w:pPr>
      <w:r>
        <w:rPr>
          <w:rStyle w:val="FootnoteCharacters"/>
        </w:rPr>
        <w:footnoteRef/>
      </w:r>
      <w:r>
        <w:rPr>
          <w:sz w:val="22"/>
        </w:rPr>
        <w:t xml:space="preserve"> </w:t>
      </w:r>
      <w:r>
        <w:rPr>
          <w:sz w:val="22"/>
        </w:rPr>
        <w:t xml:space="preserve">Moreover, even if at one point the full integration standard had been the Commission's policy, by contending here that they are entitled to rely on decisions made at that time after the standard had been explicitly rejected by the Commission would have the Commission make policy today based upon a market practice that has discredited.  Were the Commission to grant this request, it would approve the economic inefficiency of the full integration standard on a retroactive basis. </w:t>
      </w:r>
    </w:p>
  </w:footnote>
  <w:footnote w:id="18">
    <w:p>
      <w:pPr>
        <w:pStyle w:val="Normal"/>
        <w:ind w:firstLine="720" w:end="0"/>
        <w:jc w:val="both"/>
        <w:rPr/>
      </w:pPr>
      <w:r>
        <w:rPr>
          <w:rStyle w:val="FootnoteCharacters"/>
        </w:rPr>
        <w:footnoteRef/>
      </w:r>
      <w:r>
        <w:rPr>
          <w:sz w:val="22"/>
        </w:rPr>
        <w:t xml:space="preserve">  </w:t>
      </w:r>
      <w:r>
        <w:rPr>
          <w:sz w:val="22"/>
        </w:rPr>
        <w:t>Mr. Adamson, SG-2 at 95, states that the initial allocation proposal helped ensure that generators that made an investment when the full integration standard existed "will not suffer potential financial losses from the changes in NEPOOL's rules" for interconnecting new generators.  The fallacy in this position is that, at the time the generating plants were purchased, there was no assurance that the full integration standard would be accepted or that those generators would be assured uncongested access to the NEPOOL grid indefinitely.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Intervention and Protest of Joint Intervenors </w:t>
    </w:r>
  </w:p>
  <w:p>
    <w:pPr>
      <w:pStyle w:val="Normal"/>
      <w:tabs>
        <w:tab w:val="clear" w:pos="720"/>
        <w:tab w:val="right" w:pos="9360" w:leader="none"/>
      </w:tabs>
      <w:rPr/>
    </w:pPr>
    <w:r>
      <w:rPr/>
      <w:t xml:space="preserve">Docket Nos. EL00-62-000, </w:t>
    </w:r>
    <w:r>
      <w:rPr>
        <w:i/>
      </w:rPr>
      <w:t>et al.</w:t>
    </w:r>
    <w:r>
      <w:rPr/>
      <w:t xml:space="preserve">, ER00-2016-000, and EL00-59-000, </w:t>
    </w:r>
    <w:r>
      <w:rPr>
        <w:i/>
      </w:rPr>
      <w:t>et al.</w:t>
    </w:r>
    <w:r>
      <w:rPr/>
      <w:tab/>
      <w:t xml:space="preserve">Page </w:t>
    </w:r>
    <w:r>
      <w:rPr/>
      <w:fldChar w:fldCharType="begin"/>
    </w:r>
    <w:r>
      <w:rPr/>
      <w:instrText xml:space="preserve"> PAGE </w:instrText>
    </w:r>
    <w:r>
      <w:rPr/>
      <w:fldChar w:fldCharType="separate"/>
    </w:r>
    <w:r>
      <w:rPr/>
      <w:t>5</w:t>
    </w:r>
    <w:r>
      <w:rPr/>
      <w:fldChar w:fldCharType="end"/>
    </w:r>
  </w:p>
  <w:p>
    <w:pPr>
      <w:pStyle w:val="Normal"/>
      <w:spacing w:lineRule="exact" w:line="19"/>
      <w:rPr>
        <w:lang w:val="en-CA" w:eastAsia="en-CA"/>
      </w:rPr>
    </w:pPr>
    <w:r>
      <w:rPr>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jc w:val="center"/>
      <w:outlineLvl w:val="0"/>
    </w:pPr>
    <w:rPr>
      <w:b/>
      <w:sz w:val="28"/>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2000-04-25T19:55:00Z</dcterms:created>
  <dc:creator>Bracewell &amp; Patterson, LLP</dc:creator>
  <dc:description/>
  <dc:language>en-CA</dc:language>
  <cp:lastModifiedBy>Bracewell &amp; Patterson, LLP</cp:lastModifiedBy>
  <dcterms:modified xsi:type="dcterms:W3CDTF">2000-04-25T19:55:00Z</dcterms:modified>
  <cp:revision>2</cp:revision>
  <dc:subject/>
  <dc:title>UNITED STATES OF AMERICA</dc:title>
</cp:coreProperties>
</file>