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5.xml" ContentType="application/vnd.openxmlformats-officedocument.wordprocessingml.footer+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231503057" r:id="rId3"/>
        </w:object>
      </w:r>
    </w:p>
    <w:p>
      <w:pPr>
        <w:pStyle w:val="Normal"/>
        <w:rPr/>
      </w:pPr>
      <w:r>
        <w:rPr/>
      </w:r>
    </w:p>
    <w:p>
      <w:pPr>
        <w:pStyle w:val="Normal"/>
        <w:rPr/>
      </w:pPr>
      <w:r>
        <w:rPr/>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6</w:t>
            </w:r>
          </w:hyperlink>
        </w:p>
        <w:p>
          <w:pPr>
            <w:pStyle w:val="TOC1"/>
            <w:rPr/>
          </w:pPr>
          <w:r>
            <w:rPr/>
            <w:t>ARTICLE ONE:</w:t>
            <w:tab/>
            <w:t>GENERAL DEFINITIONS</w:t>
            <w:tab/>
          </w:r>
          <w:hyperlink w:anchor="__RefHeading___Toc476669032">
            <w:r>
              <w:rPr>
                <w:rStyle w:val="IndexLink"/>
              </w:rPr>
              <w:t>6</w:t>
            </w:r>
          </w:hyperlink>
        </w:p>
        <w:p>
          <w:pPr>
            <w:pStyle w:val="TOC1"/>
            <w:rPr/>
          </w:pPr>
          <w:r>
            <w:rPr/>
            <w:t>ARTICLE TWO:</w:t>
            <w:tab/>
            <w:t>TRANSACTION TERMS AND CONDITIONS</w:t>
            <w:tab/>
          </w:r>
          <w:hyperlink w:anchor="__RefHeading___Toc476669033">
            <w:r>
              <w:rPr>
                <w:rStyle w:val="IndexLink"/>
              </w:rPr>
              <w:t>11</w:t>
            </w:r>
          </w:hyperlink>
        </w:p>
        <w:p>
          <w:pPr>
            <w:pStyle w:val="TOC2"/>
            <w:rPr/>
          </w:pPr>
          <w:r>
            <w:rPr/>
            <w:t>2.1</w:t>
            <w:tab/>
            <w:t>Transactions</w:t>
            <w:tab/>
          </w:r>
          <w:hyperlink w:anchor="__RefHeading___Toc476669034">
            <w:r>
              <w:rPr>
                <w:rStyle w:val="IndexLink"/>
              </w:rPr>
              <w:t>11</w:t>
            </w:r>
          </w:hyperlink>
        </w:p>
        <w:p>
          <w:pPr>
            <w:pStyle w:val="TOC2"/>
            <w:rPr/>
          </w:pPr>
          <w:r>
            <w:rPr/>
            <w:t>2.2</w:t>
            <w:tab/>
            <w:t>Governing Terms</w:t>
            <w:tab/>
          </w:r>
          <w:hyperlink w:anchor="__RefHeading___Toc476669035">
            <w:r>
              <w:rPr>
                <w:rStyle w:val="IndexLink"/>
              </w:rPr>
              <w:t>11</w:t>
            </w:r>
          </w:hyperlink>
        </w:p>
        <w:p>
          <w:pPr>
            <w:pStyle w:val="TOC2"/>
            <w:rPr/>
          </w:pPr>
          <w:r>
            <w:rPr/>
            <w:t>2.3</w:t>
            <w:tab/>
            <w:t>Confirmation</w:t>
            <w:tab/>
          </w:r>
          <w:hyperlink w:anchor="__RefHeading___Toc476669036">
            <w:r>
              <w:rPr>
                <w:rStyle w:val="IndexLink"/>
              </w:rPr>
              <w:t>11</w:t>
            </w:r>
          </w:hyperlink>
        </w:p>
        <w:p>
          <w:pPr>
            <w:pStyle w:val="TOC2"/>
            <w:rPr/>
          </w:pPr>
          <w:r>
            <w:rPr/>
            <w:t>2.4</w:t>
            <w:tab/>
            <w:t>Additional Confirmation Terms</w:t>
            <w:tab/>
          </w:r>
          <w:hyperlink w:anchor="__RefHeading___Toc476669037">
            <w:r>
              <w:rPr>
                <w:rStyle w:val="IndexLink"/>
              </w:rPr>
              <w:t>12</w:t>
            </w:r>
          </w:hyperlink>
        </w:p>
        <w:p>
          <w:pPr>
            <w:pStyle w:val="TOC2"/>
            <w:rPr/>
          </w:pPr>
          <w:r>
            <w:rPr/>
            <w:t>2.5</w:t>
            <w:tab/>
            <w:t>Recording</w:t>
            <w:tab/>
          </w:r>
          <w:hyperlink w:anchor="__RefHeading___Toc476669038">
            <w:r>
              <w:rPr>
                <w:rStyle w:val="IndexLink"/>
              </w:rPr>
              <w:t>12</w:t>
            </w:r>
          </w:hyperlink>
        </w:p>
        <w:p>
          <w:pPr>
            <w:pStyle w:val="TOC1"/>
            <w:rPr/>
          </w:pPr>
          <w:r>
            <w:rPr/>
            <w:t>ARTICLE THREE:</w:t>
            <w:tab/>
            <w:t>OBLIGATIONS AND DELIVERIES</w:t>
            <w:tab/>
          </w:r>
          <w:hyperlink w:anchor="__RefHeading___Toc476669039">
            <w:r>
              <w:rPr>
                <w:rStyle w:val="IndexLink"/>
              </w:rPr>
              <w:t>12</w:t>
            </w:r>
          </w:hyperlink>
        </w:p>
        <w:p>
          <w:pPr>
            <w:pStyle w:val="TOC2"/>
            <w:rPr/>
          </w:pPr>
          <w:r>
            <w:rPr/>
            <w:t>3.1</w:t>
            <w:tab/>
            <w:t>Seller’s and Buyer’s Obligations</w:t>
            <w:tab/>
          </w:r>
          <w:hyperlink w:anchor="__RefHeading___Toc476669040">
            <w:r>
              <w:rPr>
                <w:rStyle w:val="IndexLink"/>
              </w:rPr>
              <w:t>12</w:t>
            </w:r>
          </w:hyperlink>
        </w:p>
        <w:p>
          <w:pPr>
            <w:pStyle w:val="TOC2"/>
            <w:rPr/>
          </w:pPr>
          <w:r>
            <w:rPr/>
            <w:t>3.2</w:t>
            <w:tab/>
            <w:t>Transmission and Scheduling</w:t>
            <w:tab/>
          </w:r>
          <w:hyperlink w:anchor="__RefHeading___Toc476669041">
            <w:r>
              <w:rPr>
                <w:rStyle w:val="IndexLink"/>
              </w:rPr>
              <w:t>12</w:t>
            </w:r>
          </w:hyperlink>
        </w:p>
        <w:p>
          <w:pPr>
            <w:pStyle w:val="TOC2"/>
            <w:rPr/>
          </w:pPr>
          <w:r>
            <w:rPr/>
            <w:t>3.3</w:t>
            <w:tab/>
            <w:t>Force Majeure</w:t>
            <w:tab/>
          </w:r>
          <w:hyperlink w:anchor="__RefHeading___Toc476669042">
            <w:r>
              <w:rPr>
                <w:rStyle w:val="IndexLink"/>
              </w:rPr>
              <w:t>13</w:t>
            </w:r>
          </w:hyperlink>
        </w:p>
        <w:p>
          <w:pPr>
            <w:pStyle w:val="TOC1"/>
            <w:rPr/>
          </w:pPr>
          <w:r>
            <w:rPr/>
            <w:t>ARTICLE FOUR:</w:t>
            <w:tab/>
            <w:t>REMEDIES FOR FAILURE TO DELIVER/RECEIVE</w:t>
            <w:tab/>
          </w:r>
          <w:hyperlink w:anchor="__RefHeading___Toc476669043">
            <w:r>
              <w:rPr>
                <w:rStyle w:val="IndexLink"/>
              </w:rPr>
              <w:t>13</w:t>
            </w:r>
          </w:hyperlink>
        </w:p>
        <w:p>
          <w:pPr>
            <w:pStyle w:val="TOC2"/>
            <w:rPr/>
          </w:pPr>
          <w:r>
            <w:rPr/>
            <w:t>4.1</w:t>
            <w:tab/>
            <w:t>Seller Failure</w:t>
            <w:tab/>
          </w:r>
          <w:hyperlink w:anchor="__RefHeading___Toc476669044">
            <w:r>
              <w:rPr>
                <w:rStyle w:val="IndexLink"/>
              </w:rPr>
              <w:t>13</w:t>
            </w:r>
          </w:hyperlink>
        </w:p>
        <w:p>
          <w:pPr>
            <w:pStyle w:val="TOC2"/>
            <w:rPr/>
          </w:pPr>
          <w:r>
            <w:rPr/>
            <w:t>4.2</w:t>
            <w:tab/>
            <w:t>Buyer Failure</w:t>
            <w:tab/>
          </w:r>
          <w:hyperlink w:anchor="__RefHeading___Toc476669045">
            <w:r>
              <w:rPr>
                <w:rStyle w:val="IndexLink"/>
              </w:rPr>
              <w:t>13</w:t>
            </w:r>
          </w:hyperlink>
        </w:p>
        <w:p>
          <w:pPr>
            <w:pStyle w:val="TOC1"/>
            <w:rPr/>
          </w:pPr>
          <w:r>
            <w:rPr/>
            <w:t>ARTICLE FIVE:</w:t>
            <w:tab/>
            <w:t>EVENTS OF DEFAULT; REMEDIES</w:t>
            <w:tab/>
          </w:r>
          <w:hyperlink w:anchor="__RefHeading___Toc476669046">
            <w:r>
              <w:rPr>
                <w:rStyle w:val="IndexLink"/>
              </w:rPr>
              <w:t>13</w:t>
            </w:r>
          </w:hyperlink>
        </w:p>
        <w:p>
          <w:pPr>
            <w:pStyle w:val="TOC2"/>
            <w:rPr/>
          </w:pPr>
          <w:r>
            <w:rPr/>
            <w:t>5.1</w:t>
            <w:tab/>
            <w:t>Events of Default</w:t>
            <w:tab/>
          </w:r>
          <w:hyperlink w:anchor="__RefHeading___Toc476669047">
            <w:r>
              <w:rPr>
                <w:rStyle w:val="IndexLink"/>
              </w:rPr>
              <w:t>13</w:t>
            </w:r>
          </w:hyperlink>
        </w:p>
        <w:p>
          <w:pPr>
            <w:pStyle w:val="TOC2"/>
            <w:rPr/>
          </w:pPr>
          <w:r>
            <w:rPr/>
            <w:t>5.2</w:t>
            <w:tab/>
            <w:t>Declaration of an Early Termination Date and Calculation of Settlement Amounts</w:t>
            <w:tab/>
          </w:r>
          <w:hyperlink w:anchor="__RefHeading___Toc476669048">
            <w:r>
              <w:rPr>
                <w:rStyle w:val="IndexLink"/>
              </w:rPr>
              <w:t>15</w:t>
            </w:r>
          </w:hyperlink>
        </w:p>
        <w:p>
          <w:pPr>
            <w:pStyle w:val="TOC2"/>
            <w:rPr/>
          </w:pPr>
          <w:r>
            <w:rPr/>
            <w:t>5.3</w:t>
            <w:tab/>
            <w:t>Net Out of Settlement Amounts</w:t>
            <w:tab/>
          </w:r>
          <w:hyperlink w:anchor="__RefHeading___Toc476669049">
            <w:r>
              <w:rPr>
                <w:rStyle w:val="IndexLink"/>
              </w:rPr>
              <w:t>15</w:t>
            </w:r>
          </w:hyperlink>
        </w:p>
        <w:p>
          <w:pPr>
            <w:pStyle w:val="TOC2"/>
            <w:rPr/>
          </w:pPr>
          <w:r>
            <w:rPr/>
            <w:t>5.4</w:t>
            <w:tab/>
            <w:t>Notice of Payment of Termination Payment</w:t>
            <w:tab/>
          </w:r>
          <w:hyperlink w:anchor="__RefHeading___Toc476669050">
            <w:r>
              <w:rPr>
                <w:rStyle w:val="IndexLink"/>
              </w:rPr>
              <w:t>15</w:t>
            </w:r>
          </w:hyperlink>
        </w:p>
        <w:p>
          <w:pPr>
            <w:pStyle w:val="TOC2"/>
            <w:rPr/>
          </w:pPr>
          <w:r>
            <w:rPr/>
            <w:t>5.5</w:t>
            <w:tab/>
            <w:t>Disputes With Respect to Termination Payment</w:t>
            <w:tab/>
          </w:r>
          <w:hyperlink w:anchor="__RefHeading___Toc476669051">
            <w:r>
              <w:rPr>
                <w:rStyle w:val="IndexLink"/>
              </w:rPr>
              <w:t>15</w:t>
            </w:r>
          </w:hyperlink>
        </w:p>
        <w:p>
          <w:pPr>
            <w:pStyle w:val="TOC2"/>
            <w:rPr/>
          </w:pPr>
          <w:r>
            <w:rPr/>
            <w:t>5.6</w:t>
            <w:tab/>
            <w:t>Closeout Setoffs</w:t>
            <w:tab/>
          </w:r>
          <w:hyperlink w:anchor="__RefHeading___Toc476669052">
            <w:r>
              <w:rPr>
                <w:rStyle w:val="IndexLink"/>
              </w:rPr>
              <w:t>16</w:t>
            </w:r>
          </w:hyperlink>
        </w:p>
        <w:p>
          <w:pPr>
            <w:pStyle w:val="TOC2"/>
            <w:rPr/>
          </w:pPr>
          <w:r>
            <w:rPr/>
            <w:t>5.7</w:t>
            <w:tab/>
            <w:t>Suspension of Performance</w:t>
            <w:tab/>
          </w:r>
          <w:hyperlink w:anchor="__RefHeading___Toc476669053">
            <w:r>
              <w:rPr>
                <w:rStyle w:val="IndexLink"/>
              </w:rPr>
              <w:t>16</w:t>
            </w:r>
          </w:hyperlink>
        </w:p>
        <w:p>
          <w:pPr>
            <w:pStyle w:val="TOC1"/>
            <w:rPr/>
          </w:pPr>
          <w:r>
            <w:rPr/>
            <w:t>ARTICLE SIX:</w:t>
            <w:tab/>
            <w:t>PAYMENT AND NETTING</w:t>
            <w:tab/>
          </w:r>
          <w:hyperlink w:anchor="__RefHeading___Toc476669054">
            <w:r>
              <w:rPr>
                <w:rStyle w:val="IndexLink"/>
              </w:rPr>
              <w:t>16</w:t>
            </w:r>
          </w:hyperlink>
        </w:p>
        <w:p>
          <w:pPr>
            <w:pStyle w:val="TOC2"/>
            <w:rPr/>
          </w:pPr>
          <w:r>
            <w:rPr/>
            <w:t>6.1</w:t>
            <w:tab/>
            <w:t>Billing Period</w:t>
            <w:tab/>
          </w:r>
          <w:hyperlink w:anchor="__RefHeading___Toc476669055">
            <w:r>
              <w:rPr>
                <w:rStyle w:val="IndexLink"/>
              </w:rPr>
              <w:t>16</w:t>
            </w:r>
          </w:hyperlink>
        </w:p>
        <w:p>
          <w:pPr>
            <w:pStyle w:val="TOC2"/>
            <w:rPr/>
          </w:pPr>
          <w:r>
            <w:rPr/>
            <w:t>6.2</w:t>
            <w:tab/>
            <w:t>Timeliness of Payment</w:t>
            <w:tab/>
          </w:r>
          <w:hyperlink w:anchor="__RefHeading___Toc476669056">
            <w:r>
              <w:rPr>
                <w:rStyle w:val="IndexLink"/>
              </w:rPr>
              <w:t>17</w:t>
            </w:r>
          </w:hyperlink>
        </w:p>
        <w:p>
          <w:pPr>
            <w:pStyle w:val="TOC2"/>
            <w:rPr/>
          </w:pPr>
          <w:r>
            <w:rPr/>
            <w:t>6.3</w:t>
            <w:tab/>
            <w:t>Disputes and Adjustments of Invoices</w:t>
            <w:tab/>
          </w:r>
          <w:hyperlink w:anchor="__RefHeading___Toc476669057">
            <w:r>
              <w:rPr>
                <w:rStyle w:val="IndexLink"/>
              </w:rPr>
              <w:t>17</w:t>
            </w:r>
          </w:hyperlink>
        </w:p>
        <w:p>
          <w:pPr>
            <w:pStyle w:val="TOC2"/>
            <w:rPr/>
          </w:pPr>
          <w:r>
            <w:rPr/>
            <w:t>6.4</w:t>
            <w:tab/>
            <w:t>Netting of Payments</w:t>
            <w:tab/>
          </w:r>
          <w:hyperlink w:anchor="__RefHeading___Toc476669058">
            <w:r>
              <w:rPr>
                <w:rStyle w:val="IndexLink"/>
              </w:rPr>
              <w:t>17</w:t>
            </w:r>
          </w:hyperlink>
        </w:p>
        <w:p>
          <w:pPr>
            <w:pStyle w:val="TOC2"/>
            <w:rPr/>
          </w:pPr>
          <w:r>
            <w:rPr/>
            <w:t>6.5</w:t>
            <w:tab/>
            <w:t>Payment Obligation Absent Netting</w:t>
            <w:tab/>
          </w:r>
          <w:hyperlink w:anchor="__RefHeading___Toc476669059">
            <w:r>
              <w:rPr>
                <w:rStyle w:val="IndexLink"/>
              </w:rPr>
              <w:t>17</w:t>
            </w:r>
          </w:hyperlink>
        </w:p>
        <w:p>
          <w:pPr>
            <w:pStyle w:val="TOC2"/>
            <w:rPr/>
          </w:pPr>
          <w:r>
            <w:rPr/>
            <w:t>6.6</w:t>
            <w:tab/>
            <w:t>Security</w:t>
            <w:tab/>
          </w:r>
          <w:hyperlink w:anchor="__RefHeading___Toc476669060">
            <w:r>
              <w:rPr>
                <w:rStyle w:val="IndexLink"/>
              </w:rPr>
              <w:t>17</w:t>
            </w:r>
          </w:hyperlink>
        </w:p>
        <w:p>
          <w:pPr>
            <w:pStyle w:val="TOC2"/>
            <w:rPr/>
          </w:pPr>
          <w:r>
            <w:rPr/>
            <w:t>6.7</w:t>
            <w:tab/>
            <w:t>Payment for Options</w:t>
            <w:tab/>
          </w:r>
          <w:hyperlink w:anchor="__RefHeading___Toc476669061">
            <w:r>
              <w:rPr>
                <w:rStyle w:val="IndexLink"/>
              </w:rPr>
              <w:t>18</w:t>
            </w:r>
          </w:hyperlink>
        </w:p>
        <w:p>
          <w:pPr>
            <w:pStyle w:val="TOC2"/>
            <w:rPr/>
          </w:pPr>
          <w:r>
            <w:rPr/>
            <w:t>6.8</w:t>
            <w:tab/>
            <w:t>Transaction Netting</w:t>
            <w:tab/>
          </w:r>
          <w:hyperlink w:anchor="__RefHeading___Toc476669062">
            <w:r>
              <w:rPr>
                <w:rStyle w:val="IndexLink"/>
              </w:rPr>
              <w:t>18</w:t>
            </w:r>
          </w:hyperlink>
        </w:p>
        <w:p>
          <w:pPr>
            <w:pStyle w:val="TOC1"/>
            <w:rPr/>
          </w:pPr>
          <w:r>
            <w:rPr/>
            <w:t>ARTICLE SEVEN:</w:t>
            <w:tab/>
            <w:t>LIMITATIONS</w:t>
            <w:tab/>
          </w:r>
          <w:hyperlink w:anchor="__RefHeading___Toc476669063">
            <w:r>
              <w:rPr>
                <w:rStyle w:val="IndexLink"/>
              </w:rPr>
              <w:t>18</w:t>
            </w:r>
          </w:hyperlink>
        </w:p>
        <w:p>
          <w:pPr>
            <w:pStyle w:val="TOC2"/>
            <w:rPr/>
          </w:pPr>
          <w:r>
            <w:rPr/>
            <w:t>7.1</w:t>
            <w:tab/>
            <w:t>Limitation of Remedies, Liability and Damages</w:t>
            <w:tab/>
          </w:r>
          <w:hyperlink w:anchor="__RefHeading___Toc476669064">
            <w:r>
              <w:rPr>
                <w:rStyle w:val="IndexLink"/>
              </w:rPr>
              <w:t>18</w:t>
            </w:r>
          </w:hyperlink>
        </w:p>
        <w:p>
          <w:pPr>
            <w:pStyle w:val="TOC1"/>
            <w:rPr/>
          </w:pPr>
          <w:r>
            <w:rPr/>
            <w:t>ARTICLE EIGHT:</w:t>
            <w:tab/>
            <w:t>CREDIT AND COLLATERAL REQUIREMENTS</w:t>
            <w:tab/>
          </w:r>
          <w:hyperlink w:anchor="__RefHeading___Toc476669065">
            <w:r>
              <w:rPr>
                <w:rStyle w:val="IndexLink"/>
              </w:rPr>
              <w:t>19</w:t>
            </w:r>
          </w:hyperlink>
        </w:p>
        <w:p>
          <w:pPr>
            <w:pStyle w:val="TOC2"/>
            <w:rPr/>
          </w:pPr>
          <w:r>
            <w:rPr/>
            <w:t>8.1</w:t>
            <w:tab/>
            <w:t>Party A Credit Protection</w:t>
            <w:tab/>
          </w:r>
          <w:hyperlink w:anchor="__RefHeading___Toc476669066">
            <w:r>
              <w:rPr>
                <w:rStyle w:val="IndexLink"/>
              </w:rPr>
              <w:t>19</w:t>
            </w:r>
          </w:hyperlink>
        </w:p>
        <w:p>
          <w:pPr>
            <w:pStyle w:val="TOC2"/>
            <w:rPr/>
          </w:pPr>
          <w:r>
            <w:rPr/>
            <w:t>8.2</w:t>
            <w:tab/>
            <w:t>Party B Credit Protection</w:t>
            <w:tab/>
          </w:r>
          <w:hyperlink w:anchor="__RefHeading___Toc476669067">
            <w:r>
              <w:rPr>
                <w:rStyle w:val="IndexLink"/>
              </w:rPr>
              <w:t>20</w:t>
            </w:r>
          </w:hyperlink>
        </w:p>
        <w:p>
          <w:pPr>
            <w:pStyle w:val="TOC2"/>
            <w:rPr/>
          </w:pPr>
          <w:r>
            <w:rPr/>
            <w:t>8.3</w:t>
            <w:tab/>
            <w:t>Grant of Security Interest/Remedies</w:t>
            <w:tab/>
          </w:r>
          <w:hyperlink w:anchor="__RefHeading___Toc476669068">
            <w:r>
              <w:rPr>
                <w:rStyle w:val="IndexLink"/>
              </w:rPr>
              <w:t>22</w:t>
            </w:r>
          </w:hyperlink>
        </w:p>
        <w:p>
          <w:pPr>
            <w:pStyle w:val="TOC1"/>
            <w:rPr/>
          </w:pPr>
          <w:r>
            <w:rPr/>
            <w:t>ARTICLE NINE:</w:t>
            <w:tab/>
            <w:t>GOVERNMENTAL CHARGES</w:t>
            <w:tab/>
          </w:r>
          <w:hyperlink w:anchor="__RefHeading___Toc476669069">
            <w:r>
              <w:rPr>
                <w:rStyle w:val="IndexLink"/>
              </w:rPr>
              <w:t>23</w:t>
            </w:r>
          </w:hyperlink>
        </w:p>
        <w:p>
          <w:pPr>
            <w:pStyle w:val="TOC2"/>
            <w:rPr/>
          </w:pPr>
          <w:r>
            <w:rPr/>
            <w:t>9.1</w:t>
            <w:tab/>
            <w:t>Cooperation</w:t>
            <w:tab/>
          </w:r>
          <w:hyperlink w:anchor="__RefHeading___Toc476669070">
            <w:r>
              <w:rPr>
                <w:rStyle w:val="IndexLink"/>
              </w:rPr>
              <w:t>23</w:t>
            </w:r>
          </w:hyperlink>
        </w:p>
        <w:p>
          <w:pPr>
            <w:pStyle w:val="TOC2"/>
            <w:rPr/>
          </w:pPr>
          <w:r>
            <w:rPr/>
            <w:t>9.2</w:t>
            <w:tab/>
            <w:t>Governmental Charges</w:t>
            <w:tab/>
          </w:r>
          <w:hyperlink w:anchor="__RefHeading___Toc476669071">
            <w:r>
              <w:rPr>
                <w:rStyle w:val="IndexLink"/>
              </w:rPr>
              <w:t>23</w:t>
            </w:r>
          </w:hyperlink>
        </w:p>
        <w:p>
          <w:pPr>
            <w:pStyle w:val="TOC1"/>
            <w:rPr/>
          </w:pPr>
          <w:r>
            <w:rPr/>
            <w:t>ARTICLE TEN:</w:t>
            <w:tab/>
            <w:t>MISCELLANEOUS</w:t>
            <w:tab/>
          </w:r>
          <w:hyperlink w:anchor="__RefHeading___Toc476669072">
            <w:r>
              <w:rPr>
                <w:rStyle w:val="IndexLink"/>
              </w:rPr>
              <w:t>23</w:t>
            </w:r>
          </w:hyperlink>
        </w:p>
        <w:p>
          <w:pPr>
            <w:pStyle w:val="TOC2"/>
            <w:rPr/>
          </w:pPr>
          <w:r>
            <w:rPr/>
            <w:t>10.1</w:t>
            <w:tab/>
            <w:t>Term of Master Agreement</w:t>
            <w:tab/>
          </w:r>
          <w:hyperlink w:anchor="__RefHeading___Toc476669073">
            <w:r>
              <w:rPr>
                <w:rStyle w:val="IndexLink"/>
              </w:rPr>
              <w:t>23</w:t>
            </w:r>
          </w:hyperlink>
        </w:p>
        <w:p>
          <w:pPr>
            <w:pStyle w:val="TOC2"/>
            <w:rPr/>
          </w:pPr>
          <w:r>
            <w:rPr/>
            <w:t>10.2</w:t>
            <w:tab/>
            <w:t>Representations and Warranties</w:t>
            <w:tab/>
          </w:r>
          <w:hyperlink w:anchor="__RefHeading___Toc476669074">
            <w:r>
              <w:rPr>
                <w:rStyle w:val="IndexLink"/>
              </w:rPr>
              <w:t>23</w:t>
            </w:r>
          </w:hyperlink>
        </w:p>
        <w:p>
          <w:pPr>
            <w:pStyle w:val="TOC2"/>
            <w:rPr/>
          </w:pPr>
          <w:r>
            <w:rPr/>
            <w:t>10.3</w:t>
            <w:tab/>
            <w:t>Title and Risk of Loss</w:t>
            <w:tab/>
          </w:r>
          <w:hyperlink w:anchor="__RefHeading___Toc476669075">
            <w:r>
              <w:rPr>
                <w:rStyle w:val="IndexLink"/>
              </w:rPr>
              <w:t>25</w:t>
            </w:r>
          </w:hyperlink>
        </w:p>
        <w:p>
          <w:pPr>
            <w:pStyle w:val="TOC2"/>
            <w:rPr/>
          </w:pPr>
          <w:r>
            <w:rPr/>
            <w:t>10.4</w:t>
            <w:tab/>
            <w:t>Indemnity</w:t>
            <w:tab/>
          </w:r>
          <w:hyperlink w:anchor="__RefHeading___Toc476669076">
            <w:r>
              <w:rPr>
                <w:rStyle w:val="IndexLink"/>
              </w:rPr>
              <w:t>25</w:t>
            </w:r>
          </w:hyperlink>
        </w:p>
        <w:p>
          <w:pPr>
            <w:pStyle w:val="TOC2"/>
            <w:rPr/>
          </w:pPr>
          <w:r>
            <w:rPr/>
            <w:t>10.5</w:t>
            <w:tab/>
            <w:t>Assignment</w:t>
            <w:tab/>
          </w:r>
          <w:hyperlink w:anchor="__RefHeading___Toc476669077">
            <w:r>
              <w:rPr>
                <w:rStyle w:val="IndexLink"/>
              </w:rPr>
              <w:t>25</w:t>
            </w:r>
          </w:hyperlink>
        </w:p>
        <w:p>
          <w:pPr>
            <w:pStyle w:val="TOC2"/>
            <w:rPr/>
          </w:pPr>
          <w:r>
            <w:rPr/>
            <w:t>10.6</w:t>
            <w:tab/>
            <w:t>Governing Law</w:t>
            <w:tab/>
          </w:r>
          <w:hyperlink w:anchor="__RefHeading___Toc476669078">
            <w:r>
              <w:rPr>
                <w:rStyle w:val="IndexLink"/>
              </w:rPr>
              <w:t>25</w:t>
            </w:r>
          </w:hyperlink>
        </w:p>
        <w:p>
          <w:pPr>
            <w:pStyle w:val="TOC2"/>
            <w:rPr/>
          </w:pPr>
          <w:r>
            <w:rPr/>
            <w:t>10.7</w:t>
            <w:tab/>
            <w:t>Notices</w:t>
            <w:tab/>
          </w:r>
          <w:hyperlink w:anchor="__RefHeading___Toc476669079">
            <w:r>
              <w:rPr>
                <w:rStyle w:val="IndexLink"/>
              </w:rPr>
              <w:t>25</w:t>
            </w:r>
          </w:hyperlink>
        </w:p>
        <w:p>
          <w:pPr>
            <w:pStyle w:val="TOC2"/>
            <w:rPr/>
          </w:pPr>
          <w:r>
            <w:rPr/>
            <w:t>10.8</w:t>
            <w:tab/>
            <w:t>General</w:t>
            <w:tab/>
          </w:r>
          <w:hyperlink w:anchor="__RefHeading___Toc476669080">
            <w:r>
              <w:rPr>
                <w:rStyle w:val="IndexLink"/>
              </w:rPr>
              <w:t>26</w:t>
            </w:r>
          </w:hyperlink>
        </w:p>
        <w:p>
          <w:pPr>
            <w:pStyle w:val="TOC2"/>
            <w:rPr/>
          </w:pPr>
          <w:r>
            <w:rPr/>
            <w:t>10.9</w:t>
            <w:tab/>
            <w:t>Audit</w:t>
            <w:tab/>
          </w:r>
          <w:hyperlink w:anchor="__RefHeading___Toc476669081">
            <w:r>
              <w:rPr>
                <w:rStyle w:val="IndexLink"/>
              </w:rPr>
              <w:t>26</w:t>
            </w:r>
          </w:hyperlink>
        </w:p>
        <w:p>
          <w:pPr>
            <w:pStyle w:val="TOC2"/>
            <w:rPr/>
          </w:pPr>
          <w:r>
            <w:rPr/>
            <w:t>10.10</w:t>
            <w:tab/>
            <w:t>Forward Contract</w:t>
            <w:tab/>
          </w:r>
          <w:hyperlink w:anchor="__RefHeading___Toc476669082">
            <w:r>
              <w:rPr>
                <w:rStyle w:val="IndexLink"/>
              </w:rPr>
              <w:t>27</w:t>
            </w:r>
          </w:hyperlink>
        </w:p>
        <w:p>
          <w:pPr>
            <w:pStyle w:val="TOC2"/>
            <w:rPr/>
          </w:pPr>
          <w:r>
            <w:rPr/>
            <w:t>10.11</w:t>
            <w:tab/>
            <w:t>Confidentiality</w:t>
            <w:tab/>
          </w:r>
          <w:hyperlink w:anchor="__RefHeading___Toc476669083">
            <w:r>
              <w:rPr>
                <w:rStyle w:val="IndexLink"/>
              </w:rPr>
              <w:t>27</w:t>
            </w:r>
          </w:hyperlink>
        </w:p>
        <w:p>
          <w:pPr>
            <w:pStyle w:val="TOC1"/>
            <w:rPr/>
          </w:pPr>
          <w:r>
            <w:rPr/>
            <w:t>SCHEDULE M:  GOVERNMENTAL ENTITY OR PUBLIC POWER SYSTEMS</w:t>
            <w:tab/>
          </w:r>
          <w:hyperlink w:anchor="__RefHeading___Toc476669084">
            <w:r>
              <w:rPr>
                <w:rStyle w:val="IndexLink"/>
              </w:rPr>
              <w:t>28</w:t>
            </w:r>
          </w:hyperlink>
        </w:p>
        <w:p>
          <w:pPr>
            <w:pStyle w:val="TOC1"/>
            <w:rPr/>
          </w:pPr>
          <w:r>
            <w:rPr/>
            <w:t>SCHEDULE P:  PRODUCTS AND RELATED DEFINITIONS</w:t>
            <w:tab/>
          </w:r>
          <w:hyperlink w:anchor="__RefHeading___Toc476669085">
            <w:r>
              <w:rPr>
                <w:rStyle w:val="IndexLink"/>
              </w:rPr>
              <w:t>32</w:t>
            </w:r>
          </w:hyperlink>
        </w:p>
        <w:p>
          <w:pPr>
            <w:pStyle w:val="TOC1"/>
            <w:rPr/>
          </w:pPr>
          <w:r>
            <w:rPr/>
            <w:t>EXHIBIT A:  CONFIRMATION LETTER</w:t>
            <w:tab/>
          </w:r>
          <w:hyperlink w:anchor="__RefHeading___Toc476669086">
            <w:r>
              <w:rPr>
                <w:rStyle w:val="IndexLink"/>
              </w:rPr>
              <w:t>39</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590" w:type="dxa"/>
        <w:jc w:val="start"/>
        <w:tblInd w:w="0" w:type="dxa"/>
        <w:tblLayout w:type="fixed"/>
        <w:tblCellMar>
          <w:top w:w="0" w:type="dxa"/>
          <w:start w:w="108" w:type="dxa"/>
          <w:bottom w:w="0" w:type="dxa"/>
          <w:end w:w="108" w:type="dxa"/>
        </w:tblCellMar>
      </w:tblPr>
      <w:tblGrid>
        <w:gridCol w:w="4795"/>
        <w:gridCol w:w="4795"/>
      </w:tblGrid>
      <w:tr>
        <w:trPr/>
        <w:tc>
          <w:tcPr>
            <w:tcW w:w="4795" w:type="dxa"/>
            <w:tcBorders/>
          </w:tcPr>
          <w:p>
            <w:pPr>
              <w:pStyle w:val="Normal"/>
              <w:tabs>
                <w:tab w:val="clear" w:pos="720"/>
                <w:tab w:val="right" w:pos="4320" w:leader="none"/>
              </w:tabs>
              <w:spacing w:before="0" w:after="160"/>
              <w:rPr>
                <w:sz w:val="20"/>
              </w:rPr>
            </w:pPr>
            <w:r>
              <w:rPr>
                <w:sz w:val="20"/>
              </w:rPr>
              <w:t>Name (“__________________” or “Party A”)</w:t>
            </w:r>
          </w:p>
        </w:tc>
        <w:tc>
          <w:tcPr>
            <w:tcW w:w="4795" w:type="dxa"/>
            <w:tcBorders/>
          </w:tcPr>
          <w:p>
            <w:pPr>
              <w:pStyle w:val="Normal"/>
              <w:tabs>
                <w:tab w:val="clear" w:pos="720"/>
                <w:tab w:val="right" w:pos="4475" w:leader="none"/>
              </w:tabs>
              <w:spacing w:before="0" w:after="160"/>
              <w:ind w:start="245" w:end="0"/>
              <w:rPr>
                <w:sz w:val="20"/>
              </w:rPr>
            </w:pPr>
            <w:r>
              <w:rPr>
                <w:sz w:val="20"/>
              </w:rPr>
              <w:t>Name (“Counterparty” or “Party B”)</w:t>
            </w:r>
          </w:p>
        </w:tc>
      </w:tr>
      <w:tr>
        <w:trPr/>
        <w:tc>
          <w:tcPr>
            <w:tcW w:w="4795" w:type="dxa"/>
            <w:tcBorders/>
          </w:tcPr>
          <w:p>
            <w:pPr>
              <w:pStyle w:val="Normal"/>
              <w:tabs>
                <w:tab w:val="clear" w:pos="720"/>
                <w:tab w:val="right" w:pos="4320" w:leader="none"/>
              </w:tabs>
              <w:spacing w:before="0" w:after="160"/>
              <w:rPr>
                <w:sz w:val="20"/>
              </w:rPr>
            </w:pPr>
            <w:r>
              <w:rPr>
                <w:sz w:val="20"/>
              </w:rPr>
              <w:t>All Notices:</w:t>
            </w:r>
          </w:p>
        </w:tc>
        <w:tc>
          <w:tcPr>
            <w:tcW w:w="4795" w:type="dxa"/>
            <w:tcBorders/>
          </w:tcPr>
          <w:p>
            <w:pPr>
              <w:pStyle w:val="Normal"/>
              <w:tabs>
                <w:tab w:val="clear" w:pos="720"/>
                <w:tab w:val="right" w:pos="4475" w:leader="none"/>
              </w:tabs>
              <w:spacing w:before="0" w:after="160"/>
              <w:ind w:start="245" w:end="0"/>
              <w:rPr>
                <w:sz w:val="20"/>
              </w:rPr>
            </w:pPr>
            <w:r>
              <w:rPr>
                <w:sz w:val="20"/>
              </w:rPr>
              <w:t>All Notices:</w:t>
            </w:r>
          </w:p>
        </w:tc>
      </w:tr>
      <w:tr>
        <w:trPr/>
        <w:tc>
          <w:tcPr>
            <w:tcW w:w="4795" w:type="dxa"/>
            <w:tcBorders/>
          </w:tcPr>
          <w:p>
            <w:pPr>
              <w:pStyle w:val="Normal"/>
              <w:tabs>
                <w:tab w:val="clear" w:pos="720"/>
                <w:tab w:val="right" w:pos="4320" w:leader="none"/>
              </w:tabs>
              <w:spacing w:before="0" w:after="160"/>
              <w:rPr>
                <w:sz w:val="20"/>
              </w:rPr>
            </w:pPr>
            <w:r>
              <w:rPr>
                <w:sz w:val="20"/>
              </w:rPr>
              <w:t xml:space="preserve">Street: </w:t>
            </w:r>
            <w:r>
              <w:rPr>
                <w:sz w:val="20"/>
                <w:u w:val="single"/>
              </w:rPr>
              <w:tab/>
            </w:r>
          </w:p>
        </w:tc>
        <w:tc>
          <w:tcPr>
            <w:tcW w:w="4795" w:type="dxa"/>
            <w:tcBorders/>
          </w:tcPr>
          <w:p>
            <w:pPr>
              <w:pStyle w:val="Normal"/>
              <w:tabs>
                <w:tab w:val="clear" w:pos="720"/>
                <w:tab w:val="right" w:pos="4475" w:leader="none"/>
              </w:tabs>
              <w:spacing w:before="0" w:after="160"/>
              <w:ind w:start="245" w:end="0"/>
              <w:rPr>
                <w:sz w:val="20"/>
              </w:rPr>
            </w:pPr>
            <w:r>
              <w:rPr>
                <w:sz w:val="20"/>
              </w:rPr>
              <w:t xml:space="preserve">Street: </w:t>
            </w:r>
            <w:r>
              <w:rPr>
                <w:sz w:val="20"/>
                <w:u w:val="single"/>
              </w:rPr>
              <w:tab/>
            </w:r>
          </w:p>
        </w:tc>
      </w:tr>
      <w:tr>
        <w:trPr/>
        <w:tc>
          <w:tcPr>
            <w:tcW w:w="4795" w:type="dxa"/>
            <w:tcBorders/>
          </w:tcPr>
          <w:p>
            <w:pPr>
              <w:pStyle w:val="Normal"/>
              <w:tabs>
                <w:tab w:val="clear" w:pos="720"/>
                <w:tab w:val="left" w:pos="2880" w:leader="none"/>
                <w:tab w:val="right" w:pos="4320" w:leader="none"/>
              </w:tabs>
              <w:spacing w:before="0" w:after="160"/>
              <w:rPr>
                <w:sz w:val="20"/>
              </w:rPr>
            </w:pPr>
            <w:r>
              <w:rPr>
                <w:sz w:val="20"/>
              </w:rPr>
              <w:t xml:space="preserve">City: </w:t>
            </w:r>
            <w:r>
              <w:rPr>
                <w:sz w:val="20"/>
                <w:u w:val="single"/>
              </w:rPr>
              <w:tab/>
            </w:r>
            <w:r>
              <w:rPr>
                <w:sz w:val="20"/>
              </w:rPr>
              <w:t xml:space="preserve">Zip: </w:t>
            </w:r>
            <w:r>
              <w:rPr>
                <w:sz w:val="20"/>
                <w:u w:val="single"/>
              </w:rPr>
              <w:tab/>
            </w:r>
          </w:p>
        </w:tc>
        <w:tc>
          <w:tcPr>
            <w:tcW w:w="4795" w:type="dxa"/>
            <w:tcBorders/>
          </w:tcPr>
          <w:p>
            <w:pPr>
              <w:pStyle w:val="Normal"/>
              <w:tabs>
                <w:tab w:val="clear" w:pos="720"/>
                <w:tab w:val="left" w:pos="2880" w:leader="none"/>
                <w:tab w:val="right" w:pos="4475" w:leader="none"/>
              </w:tabs>
              <w:spacing w:before="0" w:after="16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4795" w:type="dxa"/>
            <w:tcBorders/>
          </w:tcPr>
          <w:p>
            <w:pPr>
              <w:pStyle w:val="Normal"/>
              <w:tabs>
                <w:tab w:val="clear" w:pos="720"/>
                <w:tab w:val="right" w:pos="4320" w:leader="none"/>
              </w:tabs>
              <w:spacing w:before="0" w:after="20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c>
          <w:tcPr>
            <w:tcW w:w="4795" w:type="dxa"/>
            <w:tcBorders/>
          </w:tcPr>
          <w:p>
            <w:pPr>
              <w:pStyle w:val="Normal"/>
              <w:tabs>
                <w:tab w:val="clear" w:pos="720"/>
                <w:tab w:val="right" w:pos="4475" w:leader="none"/>
              </w:tabs>
              <w:spacing w:before="0" w:after="20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rPr>
                <w:sz w:val="20"/>
              </w:rPr>
            </w:pPr>
            <w:r>
              <w:rPr>
                <w:sz w:val="20"/>
              </w:rPr>
              <w:t>With additional Notices of an Event of Default or Potential Event of Default to:</w:t>
            </w:r>
          </w:p>
          <w:p>
            <w:pPr>
              <w:pStyle w:val="Normal"/>
              <w:tabs>
                <w:tab w:val="clear" w:pos="720"/>
                <w:tab w:val="right" w:pos="4320" w:leader="none"/>
              </w:tabs>
              <w:ind w:start="245"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ind w:start="245" w:end="0"/>
              <w:rPr>
                <w:sz w:val="20"/>
              </w:rPr>
            </w:pPr>
            <w:r>
              <w:rPr>
                <w:sz w:val="20"/>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sz w:val="20"/>
        </w:rPr>
      </w:pPr>
      <w:r>
        <w:rPr>
          <w:sz w:val="20"/>
        </w:rPr>
      </w:r>
      <w:r>
        <w:br w:type="page"/>
      </w:r>
    </w:p>
    <w:p>
      <w:pPr>
        <w:pStyle w:val="Normal"/>
        <w:rPr>
          <w:sz w:val="20"/>
        </w:rPr>
      </w:pPr>
      <w:r>
        <w:rPr>
          <w:sz w:val="20"/>
        </w:rPr>
      </w:r>
    </w:p>
    <w:p>
      <w:pPr>
        <w:pStyle w:val="coverbody"/>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A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9576" w:type="dxa"/>
        <w:jc w:val="start"/>
        <w:tblInd w:w="0" w:type="dxa"/>
        <w:tblLayout w:type="fixed"/>
        <w:tblCellMar>
          <w:top w:w="0" w:type="dxa"/>
          <w:start w:w="108" w:type="dxa"/>
          <w:bottom w:w="0" w:type="dxa"/>
          <w:end w:w="108" w:type="dxa"/>
        </w:tblCellMar>
      </w:tblPr>
      <w:tblGrid>
        <w:gridCol w:w="3348"/>
        <w:gridCol w:w="3150"/>
        <w:gridCol w:w="3060"/>
        <w:gridCol w:w="18"/>
      </w:tblGrid>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Transaction Terms and Conditions</w:t>
            </w:r>
          </w:p>
        </w:tc>
        <w:tc>
          <w:tcPr>
            <w:tcW w:w="6228" w:type="dxa"/>
            <w:gridSpan w:val="2"/>
            <w:tcBorders/>
          </w:tcPr>
          <w:p>
            <w:pPr>
              <w:pStyle w:val="Normal"/>
              <w:spacing w:before="0" w:after="200"/>
              <w:rPr/>
            </w:pPr>
            <w:r>
              <w:rPr>
                <w:rFonts w:eastAsia="Typographic Ext;Symbol" w:cs="Typographic Ext;Symbol" w:ascii="Typographic Ext;Symbol" w:hAnsi="Typographic Ext;Symbol"/>
                <w:sz w:val="20"/>
              </w:rPr>
              <w:sym w:font="Typographic Ext;Symbol" w:char="f03a"/>
            </w:r>
            <w:r>
              <w:rPr>
                <w:sz w:val="20"/>
              </w:rPr>
              <w:t xml:space="preserve">  </w:t>
            </w:r>
            <w:r>
              <w:rPr>
                <w:sz w:val="20"/>
              </w:rPr>
              <w:t>Optional provision in Section 2.4.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u w:val="single"/>
              </w:rPr>
            </w:pPr>
            <w:r>
              <w:rPr>
                <w:sz w:val="20"/>
              </w:rPr>
              <w:t xml:space="preserve">Remedies for Failure </w:t>
              <w:br/>
              <w:t>to Deliver or Receive</w:t>
            </w:r>
          </w:p>
        </w:tc>
        <w:tc>
          <w:tcPr>
            <w:tcW w:w="6228" w:type="dxa"/>
            <w:gridSpan w:val="2"/>
            <w:tcBorders/>
          </w:tcPr>
          <w:p>
            <w:pPr>
              <w:pStyle w:val="Normal"/>
              <w:spacing w:before="0" w:after="200"/>
              <w:rPr/>
            </w:pPr>
            <w:r>
              <w:rPr>
                <w:rFonts w:eastAsia="Typographic Ext;Symbol" w:cs="Typographic Ext;Symbol" w:ascii="Typographic Ext;Symbol" w:hAnsi="Typographic Ext;Symbol"/>
                <w:sz w:val="20"/>
              </w:rPr>
              <w:sym w:font="Typographic Ext;Symbol" w:char="f03a"/>
            </w:r>
            <w:r>
              <w:rPr>
                <w:sz w:val="20"/>
              </w:rPr>
              <w:t xml:space="preserve">  </w:t>
            </w:r>
            <w:r>
              <w:rPr>
                <w:sz w:val="20"/>
              </w:rPr>
              <w:t>Accelerated Payment of Damages.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228" w:type="dxa"/>
            <w:gridSpan w:val="2"/>
            <w:tcBorders>
              <w:top w:val="single" w:sz="6" w:space="0" w:color="000000"/>
            </w:tcBorders>
          </w:tcPr>
          <w:p>
            <w:pPr>
              <w:pStyle w:val="Normal"/>
              <w:spacing w:before="120" w:after="120"/>
              <w:rPr/>
            </w:pPr>
            <w:r>
              <w:rPr>
                <w:rFonts w:eastAsia="Typographic Ext;Symbol" w:cs="Typographic Ext;Symbol" w:ascii="Typographic Ext;Symbol" w:hAnsi="Typographic Ext;Symbol"/>
                <w:sz w:val="20"/>
              </w:rPr>
              <w:sym w:font="Typographic Ext;Symbol" w:char="f03a"/>
            </w:r>
            <w:r>
              <w:rPr>
                <w:sz w:val="20"/>
              </w:rPr>
              <w:t xml:space="preserve">  </w:t>
            </w:r>
            <w:r>
              <w:rPr>
                <w:sz w:val="20"/>
              </w:rPr>
              <w:t>Cross Default for Party A:</w:t>
            </w:r>
          </w:p>
        </w:tc>
      </w:tr>
      <w:tr>
        <w:trPr/>
        <w:tc>
          <w:tcPr>
            <w:tcW w:w="3348" w:type="dxa"/>
            <w:tcBorders/>
          </w:tcPr>
          <w:p>
            <w:pPr>
              <w:pStyle w:val="Normal"/>
              <w:spacing w:before="0" w:after="200"/>
              <w:rPr>
                <w:sz w:val="20"/>
                <w:u w:val="single"/>
              </w:rPr>
            </w:pPr>
            <w:r>
              <w:rPr>
                <w:sz w:val="20"/>
              </w:rPr>
              <w:t>Events of Default; Remedies</w:t>
            </w:r>
          </w:p>
        </w:tc>
        <w:tc>
          <w:tcPr>
            <w:tcW w:w="3150" w:type="dxa"/>
            <w:tcBorders/>
          </w:tcPr>
          <w:p>
            <w:pPr>
              <w:pStyle w:val="Normal"/>
              <w:tabs>
                <w:tab w:val="clear" w:pos="720"/>
                <w:tab w:val="right" w:pos="2673" w:leader="none"/>
              </w:tabs>
              <w:spacing w:before="0" w:after="200"/>
              <w:rPr>
                <w:sz w:val="20"/>
              </w:rPr>
            </w:pPr>
            <w:r>
              <w:rPr>
                <w:rFonts w:eastAsia="Typographic Ext;Symbol" w:cs="Typographic Ext;Symbol" w:ascii="Typographic Ext;Symbol" w:hAnsi="Typographic Ext;Symbol"/>
                <w:sz w:val="20"/>
              </w:rPr>
              <w:sym w:font="Typographic Ext;Symbol" w:char="f03a"/>
            </w:r>
            <w:r>
              <w:rPr>
                <w:sz w:val="20"/>
              </w:rPr>
              <w:t xml:space="preserve">  </w:t>
            </w:r>
            <w:r>
              <w:rPr>
                <w:sz w:val="20"/>
              </w:rPr>
              <w:t>Party A:</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rFonts w:eastAsia="Typographic Ext;Symbol" w:cs="Typographic Ext;Symbol" w:ascii="Typographic Ext;Symbol" w:hAnsi="Typographic Ext;Symbol"/>
                <w:sz w:val="20"/>
              </w:rPr>
              <w:sym w:font="Typographic Ext;Symbol" w:char="f03a"/>
            </w:r>
            <w:r>
              <w:rPr>
                <w:sz w:val="20"/>
              </w:rPr>
              <w:t xml:space="preserve">  </w:t>
            </w:r>
            <w:r>
              <w:rPr>
                <w:sz w:val="20"/>
              </w:rPr>
              <w:t>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pPr>
            <w:r>
              <w:rPr>
                <w:rFonts w:eastAsia="Typographic Ext;Symbol" w:cs="Typographic Ext;Symbol" w:ascii="Typographic Ext;Symbol" w:hAnsi="Typographic Ext;Symbol"/>
                <w:sz w:val="20"/>
              </w:rPr>
              <w:sym w:font="Typographic Ext;Symbol" w:char="f03a"/>
            </w:r>
            <w:r>
              <w:rPr>
                <w:sz w:val="20"/>
              </w:rPr>
              <w:t xml:space="preserve">  </w:t>
            </w:r>
            <w:r>
              <w:rPr>
                <w:sz w:val="20"/>
              </w:rPr>
              <w:t>Cross Default for Party B:</w:t>
            </w:r>
          </w:p>
        </w:tc>
        <w:tc>
          <w:tcPr>
            <w:tcW w:w="3060" w:type="dxa"/>
            <w:tcBorders/>
          </w:tcPr>
          <w:p>
            <w:pPr>
              <w:pStyle w:val="Normal"/>
              <w:tabs>
                <w:tab w:val="clear" w:pos="720"/>
                <w:tab w:val="right" w:pos="2844" w:leader="none"/>
              </w:tabs>
              <w:snapToGrid w:val="false"/>
              <w:spacing w:before="0" w:after="200"/>
              <w:rPr>
                <w:sz w:val="20"/>
              </w:rPr>
            </w:pPr>
            <w:r>
              <w:rPr>
                <w:sz w:val="20"/>
              </w:rPr>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rFonts w:eastAsia="Typographic Ext;Symbol" w:cs="Typographic Ext;Symbol" w:ascii="Typographic Ext;Symbol" w:hAnsi="Typographic Ext;Symbol"/>
                <w:sz w:val="20"/>
              </w:rPr>
              <w:sym w:font="Typographic Ext;Symbol" w:char="f03a"/>
            </w:r>
            <w:r>
              <w:rPr>
                <w:sz w:val="20"/>
              </w:rPr>
              <w:t xml:space="preserve">  </w:t>
            </w:r>
            <w:r>
              <w:rPr>
                <w:sz w:val="20"/>
              </w:rPr>
              <w:t>Party B:</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rFonts w:eastAsia="Typographic Ext;Symbol" w:cs="Typographic Ext;Symbol" w:ascii="Typographic Ext;Symbol" w:hAnsi="Typographic Ext;Symbol"/>
                <w:sz w:val="20"/>
              </w:rPr>
              <w:sym w:font="Typographic Ext;Symbol" w:char="f03a"/>
            </w:r>
            <w:r>
              <w:rPr>
                <w:sz w:val="20"/>
              </w:rPr>
              <w:t xml:space="preserve">  </w:t>
            </w:r>
            <w:r>
              <w:rPr>
                <w:sz w:val="20"/>
              </w:rPr>
              <w:t>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5.6</w:t>
            </w:r>
            <w:r>
              <w:rPr>
                <w:sz w:val="20"/>
              </w:rPr>
              <w:t xml:space="preserve">  Closeout Setoff</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rFonts w:eastAsia="Typographic Ext;Symbol" w:cs="Typographic Ext;Symbol" w:ascii="Typographic Ext;Symbol" w:hAnsi="Typographic Ext;Symbol"/>
                <w:sz w:val="20"/>
              </w:rPr>
              <w:sym w:font="Typographic Ext;Symbol" w:char="f03a"/>
            </w:r>
            <w:r>
              <w:rPr>
                <w:sz w:val="20"/>
              </w:rPr>
              <w:tab/>
              <w:t>Option A (Applicable if no other selection is made.)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rFonts w:eastAsia="Typographic Ext;Symbol" w:cs="Typographic Ext;Symbol" w:ascii="Typographic Ext;Symbol" w:hAnsi="Typographic Ext;Symbol"/>
                <w:sz w:val="20"/>
              </w:rPr>
              <w:sym w:font="Typographic Ext;Symbol" w:char="f03a"/>
            </w:r>
            <w:r>
              <w:rPr>
                <w:sz w:val="20"/>
              </w:rPr>
              <w:tab/>
              <w:t>Option B - Affiliates shall have the meaning set forth in the Agreement unless otherwise specified as follows:</w:t>
            </w:r>
            <w:r>
              <w:rPr>
                <w:sz w:val="20"/>
                <w:u w:val="single"/>
              </w:rPr>
              <w:tab/>
            </w:r>
            <w:r>
              <w:rPr>
                <w:sz w:val="20"/>
              </w:rPr>
              <w:br/>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rFonts w:eastAsia="Typographic Ext;Symbol" w:cs="Typographic Ext;Symbol" w:ascii="Typographic Ext;Symbol" w:hAnsi="Typographic Ext;Symbol"/>
                <w:sz w:val="20"/>
              </w:rPr>
              <w:sym w:font="Typographic Ext;Symbol" w:char="f03a"/>
            </w:r>
            <w:r>
              <w:rPr>
                <w:sz w:val="20"/>
              </w:rPr>
              <w:tab/>
              <w:t>Option C (No Setoff)</w:t>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228"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348" w:type="dxa"/>
            <w:tcBorders/>
          </w:tcPr>
          <w:p>
            <w:pPr>
              <w:pStyle w:val="Normal"/>
              <w:spacing w:before="0" w:after="120"/>
              <w:rPr>
                <w:sz w:val="20"/>
                <w:u w:val="single"/>
              </w:rPr>
            </w:pPr>
            <w:r>
              <w:rPr>
                <w:sz w:val="20"/>
              </w:rPr>
              <w:t>Credit and Collateral Requirements</w:t>
            </w:r>
          </w:p>
        </w:tc>
        <w:tc>
          <w:tcPr>
            <w:tcW w:w="6228"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rFonts w:eastAsia="Typographic Ext;Symbol" w:cs="Typographic Ext;Symbol" w:ascii="Typographic Ext;Symbol" w:hAnsi="Typographic Ext;Symbol"/>
                <w:sz w:val="20"/>
              </w:rPr>
              <w:sym w:font="Typographic Ext;Symbol" w:char="f03a"/>
            </w:r>
            <w:r>
              <w:rPr>
                <w:sz w:val="20"/>
              </w:rPr>
              <w:tab/>
              <w:t>Option A</w:t>
              <w:br/>
            </w:r>
            <w:r>
              <w:rPr>
                <w:rFonts w:eastAsia="Typographic Ext;Symbol" w:cs="Typographic Ext;Symbol" w:ascii="Typographic Ext;Symbol" w:hAnsi="Typographic Ext;Symbol"/>
                <w:sz w:val="20"/>
              </w:rPr>
              <w:sym w:font="Typographic Ext;Symbol" w:char="f03a"/>
            </w:r>
            <w:r>
              <w:rPr>
                <w:sz w:val="20"/>
              </w:rPr>
              <w:tab/>
              <w:t xml:space="preserve">Option B   Specify: </w:t>
            </w:r>
            <w:r>
              <w:rPr>
                <w:sz w:val="20"/>
                <w:u w:val="single"/>
              </w:rPr>
              <w:tab/>
            </w:r>
            <w:r>
              <w:rPr>
                <w:sz w:val="20"/>
              </w:rPr>
              <w:br/>
            </w:r>
            <w:r>
              <w:rPr>
                <w:rFonts w:eastAsia="Typographic Ext;Symbol" w:cs="Typographic Ext;Symbol" w:ascii="Typographic Ext;Symbol" w:hAnsi="Typographic Ext;Symbol"/>
                <w:sz w:val="20"/>
              </w:rPr>
              <w:sym w:font="Typographic Ext;Symbol" w:char="f03a"/>
            </w:r>
            <w:r>
              <w:rPr>
                <w:sz w:val="20"/>
              </w:rPr>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rFonts w:eastAsia="Typographic Ext;Symbol" w:cs="Typographic Ext;Symbol" w:ascii="Typographic Ext;Symbol" w:hAnsi="Typographic Ext;Symbol"/>
                <w:sz w:val="20"/>
              </w:rPr>
              <w:sym w:font="Typographic Ext;Symbol" w:char="f03a"/>
            </w:r>
            <w:r>
              <w:rPr>
                <w:sz w:val="20"/>
              </w:rPr>
              <w:tab/>
              <w:t>Not Applicable</w:t>
              <w:br/>
            </w:r>
            <w:r>
              <w:rPr>
                <w:rFonts w:eastAsia="Typographic Ext;Symbol" w:cs="Typographic Ext;Symbol" w:ascii="Typographic Ext;Symbol" w:hAnsi="Typographic Ext;Symbol"/>
                <w:sz w:val="20"/>
              </w:rPr>
              <w:sym w:font="Typographic Ext;Symbol" w:char="f03a"/>
            </w:r>
            <w:r>
              <w:rPr>
                <w:sz w:val="20"/>
              </w:rPr>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rFonts w:eastAsia="Typographic Ext;Symbol" w:cs="Typographic Ext;Symbol" w:ascii="Typographic Ext;Symbol" w:hAnsi="Typographic Ext;Symbol"/>
                <w:sz w:val="20"/>
              </w:rPr>
              <w:sym w:font="Typographic Ext;Symbol" w:char="f03a"/>
            </w:r>
            <w:r>
              <w:rPr>
                <w:sz w:val="20"/>
              </w:rPr>
              <w:tab/>
              <w:t>Not Applicable</w:t>
              <w:br/>
            </w:r>
            <w:r>
              <w:rPr>
                <w:rFonts w:eastAsia="Typographic Ext;Symbol" w:cs="Typographic Ext;Symbol" w:ascii="Typographic Ext;Symbol" w:hAnsi="Typographic Ext;Symbol"/>
                <w:sz w:val="20"/>
              </w:rPr>
              <w:sym w:font="Typographic Ext;Symbol" w:char="f03a"/>
            </w:r>
            <w:r>
              <w:rPr>
                <w:sz w:val="20"/>
              </w:rPr>
              <w:tab/>
              <w:t>Applicable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Rounding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702" w:leader="none"/>
              </w:tabs>
              <w:spacing w:before="0" w:after="200"/>
              <w:ind w:start="360" w:end="0"/>
              <w:rPr/>
            </w:pPr>
            <w:r>
              <w:rPr>
                <w:rFonts w:eastAsia="Typographic Ext;Symbol" w:cs="Typographic Ext;Symbol" w:ascii="Typographic Ext;Symbol" w:hAnsi="Typographic Ext;Symbol"/>
                <w:sz w:val="20"/>
              </w:rPr>
              <w:sym w:font="Typographic Ext;Symbol" w:char="f03a"/>
            </w:r>
            <w:r>
              <w:rPr>
                <w:sz w:val="20"/>
              </w:rPr>
              <w:tab/>
              <w:t>Not Applicable</w:t>
              <w:br/>
            </w:r>
            <w:r>
              <w:rPr>
                <w:rFonts w:eastAsia="Typographic Ext;Symbol" w:cs="Typographic Ext;Symbol" w:ascii="Typographic Ext;Symbol" w:hAnsi="Typographic Ext;Symbol"/>
                <w:sz w:val="20"/>
              </w:rPr>
              <w:sym w:font="Typographic Ext;Symbol" w:char="f03a"/>
            </w:r>
            <w:r>
              <w:rPr>
                <w:sz w:val="20"/>
              </w:rPr>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ind w:hanging="360" w:start="720" w:end="0"/>
              <w:rPr/>
            </w:pPr>
            <w:r>
              <w:rPr>
                <w:rFonts w:eastAsia="Typographic Ext;Symbol" w:cs="Typographic Ext;Symbol" w:ascii="Typographic Ext;Symbol" w:hAnsi="Typographic Ext;Symbol"/>
                <w:sz w:val="20"/>
              </w:rPr>
              <w:sym w:font="Typographic Ext;Symbol" w:char="f03a"/>
            </w:r>
            <w:r>
              <w:rPr>
                <w:sz w:val="20"/>
              </w:rPr>
              <w:tab/>
              <w:t xml:space="preserve">It shall be a Downgrade Event for Party B if Party B’s Credit Rating falls below __________ from S&amp;P or  __________ from Moody’s or if  Party B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hanging="360" w:start="720" w:end="0"/>
              <w:rPr>
                <w:sz w:val="20"/>
              </w:rPr>
            </w:pPr>
            <w:r>
              <w:rPr>
                <w:rFonts w:eastAsia="Typographic Ext;Symbol" w:cs="Typographic Ext;Symbol" w:ascii="Typographic Ext;Symbol" w:hAnsi="Typographic Ext;Symbol"/>
                <w:sz w:val="20"/>
              </w:rPr>
              <w:sym w:font="Typographic Ext;Symbol" w:char="f03a"/>
            </w:r>
            <w:r>
              <w:rPr>
                <w:sz w:val="20"/>
              </w:rPr>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B:</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cPr>
          <w:p>
            <w:pPr>
              <w:pStyle w:val="Normal"/>
              <w:snapToGrid w:val="false"/>
              <w:spacing w:before="0" w:after="200"/>
              <w:rPr>
                <w:rStyle w:val="ParaNum"/>
                <w:sz w:val="20"/>
                <w:u w:val="single"/>
              </w:rPr>
            </w:pPr>
            <w:r>
              <w:rPr/>
            </w:r>
          </w:p>
        </w:tc>
        <w:tc>
          <w:tcPr>
            <w:tcW w:w="6228" w:type="dxa"/>
            <w:tcBorders/>
          </w:tcPr>
          <w:p>
            <w:pPr>
              <w:pStyle w:val="Normal"/>
              <w:spacing w:before="0" w:after="200"/>
              <w:rPr/>
            </w:pPr>
            <w:r>
              <w:rPr>
                <w:sz w:val="20"/>
              </w:rPr>
              <w:t xml:space="preserve">8.2  </w:t>
            </w:r>
            <w:r>
              <w:rPr>
                <w:sz w:val="20"/>
                <w:u w:val="single"/>
              </w:rPr>
              <w:t>Party B Credit Protection</w:t>
            </w:r>
            <w:r>
              <w:rPr>
                <w:sz w:val="20"/>
              </w:rPr>
              <w:t>:</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rFonts w:eastAsia="Typographic Ext;Symbol" w:cs="Typographic Ext;Symbol" w:ascii="Typographic Ext;Symbol" w:hAnsi="Typographic Ext;Symbol"/>
                <w:sz w:val="20"/>
              </w:rPr>
              <w:sym w:font="Typographic Ext;Symbol" w:char="f03a"/>
            </w:r>
            <w:r>
              <w:rPr>
                <w:sz w:val="20"/>
              </w:rPr>
              <w:tab/>
              <w:t>Option A</w:t>
              <w:br/>
            </w:r>
            <w:r>
              <w:rPr>
                <w:rFonts w:eastAsia="Typographic Ext;Symbol" w:cs="Typographic Ext;Symbol" w:ascii="Typographic Ext;Symbol" w:hAnsi="Typographic Ext;Symbol"/>
                <w:sz w:val="20"/>
              </w:rPr>
              <w:sym w:font="Typographic Ext;Symbol" w:char="f03a"/>
            </w:r>
            <w:r>
              <w:rPr>
                <w:sz w:val="20"/>
              </w:rPr>
              <w:tab/>
              <w:t xml:space="preserve">Option B   Specify: </w:t>
            </w:r>
            <w:r>
              <w:rPr>
                <w:sz w:val="20"/>
                <w:u w:val="single"/>
              </w:rPr>
              <w:tab/>
            </w:r>
            <w:r>
              <w:rPr>
                <w:sz w:val="20"/>
              </w:rPr>
              <w:br/>
            </w:r>
            <w:r>
              <w:rPr>
                <w:rFonts w:eastAsia="Typographic Ext;Symbol" w:cs="Typographic Ext;Symbol" w:ascii="Typographic Ext;Symbol" w:hAnsi="Typographic Ext;Symbol"/>
                <w:sz w:val="20"/>
              </w:rPr>
              <w:sym w:font="Typographic Ext;Symbol" w:char="f03a"/>
            </w:r>
            <w:r>
              <w:rPr>
                <w:sz w:val="20"/>
              </w:rPr>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pPr>
            <w:r>
              <w:rPr>
                <w:rFonts w:eastAsia="Typographic Ext;Symbol" w:cs="Typographic Ext;Symbol" w:ascii="Typographic Ext;Symbol" w:hAnsi="Typographic Ext;Symbol"/>
                <w:sz w:val="20"/>
              </w:rPr>
              <w:sym w:font="Typographic Ext;Symbol" w:char="f03a"/>
            </w:r>
            <w:r>
              <w:rPr>
                <w:sz w:val="20"/>
              </w:rPr>
              <w:tab/>
              <w:t>Not Applicable</w:t>
              <w:br/>
            </w:r>
            <w:r>
              <w:rPr>
                <w:rFonts w:eastAsia="Typographic Ext;Symbol" w:cs="Typographic Ext;Symbol" w:ascii="Typographic Ext;Symbol" w:hAnsi="Typographic Ext;Symbol"/>
                <w:sz w:val="20"/>
              </w:rPr>
              <w:sym w:font="Typographic Ext;Symbol" w:char="f03a"/>
            </w:r>
            <w:r>
              <w:rPr>
                <w:sz w:val="20"/>
              </w:rPr>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pPr>
            <w:r>
              <w:rPr>
                <w:rFonts w:eastAsia="Typographic Ext;Symbol" w:cs="Typographic Ext;Symbol" w:ascii="Typographic Ext;Symbol" w:hAnsi="Typographic Ext;Symbol"/>
                <w:sz w:val="20"/>
              </w:rPr>
              <w:sym w:font="Typographic Ext;Symbol" w:char="f03a"/>
            </w:r>
            <w:r>
              <w:rPr>
                <w:sz w:val="20"/>
              </w:rPr>
              <w:tab/>
              <w:t>Not Applicable</w:t>
              <w:br/>
            </w:r>
            <w:r>
              <w:rPr>
                <w:rFonts w:eastAsia="Typographic Ext;Symbol" w:cs="Typographic Ext;Symbol" w:ascii="Typographic Ext;Symbol" w:hAnsi="Typographic Ext;Symbol"/>
                <w:sz w:val="20"/>
              </w:rPr>
              <w:sym w:font="Typographic Ext;Symbol" w:char="f03a"/>
            </w:r>
            <w:r>
              <w:rPr>
                <w:sz w:val="20"/>
              </w:rPr>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Rounding Amount: $</w:t>
            </w:r>
            <w:r>
              <w:rPr>
                <w:sz w:val="20"/>
                <w:u w:val="single"/>
              </w:rPr>
              <w:tab/>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3114"/>
        <w:gridCol w:w="3114"/>
      </w:tblGrid>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702" w:leader="none"/>
              </w:tabs>
              <w:spacing w:before="0" w:after="200"/>
              <w:ind w:start="360" w:end="0"/>
              <w:rPr/>
            </w:pPr>
            <w:r>
              <w:rPr>
                <w:rFonts w:eastAsia="Typographic Ext;Symbol" w:cs="Typographic Ext;Symbol" w:ascii="Typographic Ext;Symbol" w:hAnsi="Typographic Ext;Symbol"/>
                <w:sz w:val="20"/>
              </w:rPr>
              <w:sym w:font="Typographic Ext;Symbol" w:char="f03a"/>
            </w:r>
            <w:r>
              <w:rPr>
                <w:sz w:val="20"/>
              </w:rPr>
              <w:tab/>
              <w:t>Not Applicable</w:t>
              <w:br/>
            </w:r>
            <w:r>
              <w:rPr>
                <w:rFonts w:eastAsia="Typographic Ext;Symbol" w:cs="Typographic Ext;Symbol" w:ascii="Typographic Ext;Symbol" w:hAnsi="Typographic Ext;Symbol"/>
                <w:sz w:val="20"/>
              </w:rPr>
              <w:sym w:font="Typographic Ext;Symbol" w:char="f03a"/>
            </w:r>
            <w:r>
              <w:rPr>
                <w:sz w:val="20"/>
              </w:rPr>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rFonts w:eastAsia="Typographic Ext;Symbol" w:cs="Typographic Ext;Symbol" w:ascii="Typographic Ext;Symbol" w:hAnsi="Typographic Ext;Symbol"/>
                <w:sz w:val="20"/>
              </w:rPr>
              <w:sym w:font="Typographic Ext;Symbol" w:char="f03a"/>
            </w:r>
            <w:r>
              <w:rPr>
                <w:sz w:val="20"/>
              </w:rPr>
              <w:tab/>
              <w:t xml:space="preserve">It shall be a Downgrade Event for Party A if Party A’s Credit Rating falls below __________ from S&amp;P or  __________ from Moody’s or if  Party A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rFonts w:eastAsia="Typographic Ext;Symbol" w:cs="Typographic Ext;Symbol" w:ascii="Typographic Ext;Symbol" w:hAnsi="Typographic Ext;Symbol"/>
                <w:sz w:val="20"/>
              </w:rPr>
              <w:sym w:font="Typographic Ext;Symbol" w:char="f03a"/>
            </w:r>
            <w:r>
              <w:rPr>
                <w:sz w:val="20"/>
              </w:rPr>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A:</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Confidentiality</w:t>
            </w:r>
          </w:p>
        </w:tc>
        <w:tc>
          <w:tcPr>
            <w:tcW w:w="3114" w:type="dxa"/>
            <w:tcBorders/>
          </w:tcPr>
          <w:p>
            <w:pPr>
              <w:pStyle w:val="Normal"/>
              <w:tabs>
                <w:tab w:val="clear" w:pos="720"/>
                <w:tab w:val="left" w:pos="252" w:leader="none"/>
              </w:tabs>
              <w:spacing w:before="0" w:after="200"/>
              <w:rPr/>
            </w:pPr>
            <w:r>
              <w:rPr>
                <w:rFonts w:eastAsia="Typographic Ext;Symbol" w:cs="Typographic Ext;Symbol" w:ascii="Typographic Ext;Symbol" w:hAnsi="Typographic Ext;Symbol"/>
                <w:sz w:val="20"/>
              </w:rPr>
              <w:sym w:font="Typographic Ext;Symbol" w:char="f03a"/>
            </w:r>
            <w:r>
              <w:rPr>
                <w:sz w:val="20"/>
              </w:rPr>
              <w:t xml:space="preserve">  </w:t>
            </w:r>
            <w:r>
              <w:rPr>
                <w:sz w:val="20"/>
              </w:rPr>
              <w:t>Confidentiality Applicable</w:t>
            </w:r>
          </w:p>
        </w:tc>
        <w:tc>
          <w:tcPr>
            <w:tcW w:w="3114" w:type="dxa"/>
            <w:tcBorders/>
          </w:tcPr>
          <w:p>
            <w:pPr>
              <w:pStyle w:val="Normal"/>
              <w:spacing w:before="0" w:after="200"/>
              <w:rPr/>
            </w:pPr>
            <w:r>
              <w:rPr>
                <w:rFonts w:eastAsia="Typographic Ext;Symbol" w:cs="Typographic Ext;Symbol" w:ascii="Typographic Ext;Symbol" w:hAnsi="Typographic Ext;Symbol"/>
                <w:sz w:val="20"/>
              </w:rPr>
              <w:sym w:font="Typographic Ext;Symbol" w:char="f03a"/>
            </w:r>
            <w:r>
              <w:rPr>
                <w:sz w:val="20"/>
              </w:rPr>
              <w:t xml:space="preserve">  </w:t>
            </w:r>
            <w:r>
              <w:rPr>
                <w:sz w:val="20"/>
              </w:rPr>
              <w:t>If not checked, inapplicable.</w:t>
            </w:r>
          </w:p>
        </w:tc>
      </w:tr>
      <w:tr>
        <w:trPr/>
        <w:tc>
          <w:tcPr>
            <w:tcW w:w="3348" w:type="dxa"/>
            <w:tcBorders/>
          </w:tcPr>
          <w:p>
            <w:pPr>
              <w:pStyle w:val="Normal"/>
              <w:rPr>
                <w:sz w:val="20"/>
              </w:rPr>
            </w:pPr>
            <w:r>
              <w:rPr>
                <w:sz w:val="20"/>
              </w:rPr>
              <w:t>Schedule M</w:t>
            </w:r>
          </w:p>
        </w:tc>
        <w:tc>
          <w:tcPr>
            <w:tcW w:w="6228" w:type="dxa"/>
            <w:gridSpan w:val="2"/>
            <w:tcBorders/>
          </w:tcPr>
          <w:p>
            <w:pPr>
              <w:pStyle w:val="Normal"/>
              <w:rPr/>
            </w:pPr>
            <w:r>
              <w:rPr>
                <w:rFonts w:eastAsia="Typographic Ext;Symbol" w:cs="Typographic Ext;Symbol" w:ascii="Typographic Ext;Symbol" w:hAnsi="Typographic Ext;Symbol"/>
                <w:sz w:val="20"/>
              </w:rPr>
              <w:sym w:font="Typographic Ext;Symbol" w:char="f03a"/>
            </w:r>
            <w:r>
              <w:rPr>
                <w:sz w:val="20"/>
              </w:rPr>
              <w:t xml:space="preserve">  </w:t>
            </w:r>
            <w:r>
              <w:rPr>
                <w:sz w:val="20"/>
              </w:rPr>
              <w:t>Party A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rFonts w:eastAsia="Typographic Ext;Symbol" w:cs="Typographic Ext;Symbol" w:ascii="Typographic Ext;Symbol" w:hAnsi="Typographic Ext;Symbol"/>
                <w:sz w:val="20"/>
              </w:rPr>
              <w:sym w:font="Typographic Ext;Symbol" w:char="f03a"/>
            </w:r>
            <w:r>
              <w:rPr>
                <w:sz w:val="20"/>
              </w:rPr>
              <w:t xml:space="preserve">  </w:t>
            </w:r>
            <w:r>
              <w:rPr>
                <w:sz w:val="20"/>
              </w:rPr>
              <w:t>Party B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rFonts w:eastAsia="Typographic Ext;Symbol" w:cs="Typographic Ext;Symbol" w:ascii="Typographic Ext;Symbol" w:hAnsi="Typographic Ext;Symbol"/>
                <w:sz w:val="20"/>
              </w:rPr>
              <w:sym w:font="Typographic Ext;Symbol" w:char="f03a"/>
            </w:r>
            <w:r>
              <w:rPr>
                <w:sz w:val="20"/>
              </w:rPr>
              <w:t xml:space="preserve">  </w:t>
            </w:r>
            <w:r>
              <w:rPr>
                <w:sz w:val="20"/>
              </w:rPr>
              <w:t>Add Section 3.6.  If not checked, inapplicable</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rFonts w:eastAsia="Typographic Ext;Symbol" w:cs="Typographic Ext;Symbol" w:ascii="Typographic Ext;Symbol" w:hAnsi="Typographic Ext;Symbol"/>
                <w:sz w:val="20"/>
              </w:rPr>
              <w:sym w:font="Typographic Ext;Symbol" w:char="f03a"/>
            </w:r>
            <w:r>
              <w:rPr>
                <w:sz w:val="20"/>
              </w:rPr>
              <w:t xml:space="preserve">  </w:t>
            </w:r>
            <w:r>
              <w:rPr>
                <w:sz w:val="20"/>
              </w:rPr>
              <w:t>Add Section 8.6.  If not checked, inapplicable</w:t>
            </w:r>
          </w:p>
        </w:tc>
      </w:tr>
      <w:tr>
        <w:trPr/>
        <w:tc>
          <w:tcPr>
            <w:tcW w:w="3348" w:type="dxa"/>
            <w:tcBorders/>
          </w:tcPr>
          <w:p>
            <w:pPr>
              <w:pStyle w:val="Normal"/>
              <w:snapToGrid w:val="false"/>
              <w:spacing w:before="0" w:after="200"/>
              <w:rPr>
                <w:sz w:val="20"/>
              </w:rPr>
            </w:pPr>
            <w:r>
              <w:rPr>
                <w:sz w:val="20"/>
              </w:rPr>
            </w:r>
          </w:p>
        </w:tc>
        <w:tc>
          <w:tcPr>
            <w:tcW w:w="6228" w:type="dxa"/>
            <w:gridSpan w:val="2"/>
            <w:tcBorders/>
          </w:tcPr>
          <w:p>
            <w:pPr>
              <w:pStyle w:val="Normal"/>
              <w:snapToGrid w:val="false"/>
              <w:spacing w:before="0" w:after="200"/>
              <w:rPr>
                <w:sz w:val="20"/>
              </w:rPr>
            </w:pPr>
            <w:r>
              <w:rPr>
                <w:sz w:val="20"/>
              </w:rPr>
            </w:r>
          </w:p>
        </w:tc>
      </w:tr>
      <w:tr>
        <w:trPr/>
        <w:tc>
          <w:tcPr>
            <w:tcW w:w="3348" w:type="dxa"/>
            <w:tcBorders/>
          </w:tcPr>
          <w:p>
            <w:pPr>
              <w:pStyle w:val="Normal"/>
              <w:tabs>
                <w:tab w:val="clear" w:pos="720"/>
                <w:tab w:val="right" w:pos="3060" w:leader="none"/>
              </w:tabs>
              <w:spacing w:before="0" w:after="200"/>
              <w:rPr>
                <w:sz w:val="20"/>
              </w:rPr>
            </w:pPr>
            <w:r>
              <w:rPr>
                <w:sz w:val="20"/>
              </w:rPr>
              <w:t>Other Changes:</w:t>
            </w:r>
            <w:r>
              <w:rPr>
                <w:sz w:val="20"/>
                <w:u w:val="single"/>
              </w:rPr>
              <w:tab/>
            </w:r>
          </w:p>
        </w:tc>
        <w:tc>
          <w:tcPr>
            <w:tcW w:w="6228" w:type="dxa"/>
            <w:gridSpan w:val="2"/>
            <w:tcBorders/>
          </w:tcPr>
          <w:p>
            <w:pPr>
              <w:pStyle w:val="Normal"/>
              <w:tabs>
                <w:tab w:val="clear" w:pos="720"/>
                <w:tab w:val="right" w:pos="6012" w:leader="none"/>
              </w:tabs>
              <w:spacing w:before="0" w:after="200"/>
              <w:rPr>
                <w:sz w:val="20"/>
              </w:rPr>
            </w:pPr>
            <w:r>
              <w:rPr>
                <w:sz w:val="20"/>
              </w:rPr>
              <w:t xml:space="preserve">Specify, if any: </w:t>
            </w:r>
            <w:r>
              <w:rPr>
                <w:sz w:val="20"/>
                <w:u w:val="single"/>
              </w:rPr>
              <w:tab/>
            </w:r>
          </w:p>
        </w:tc>
      </w:tr>
    </w:tbl>
    <w:p>
      <w:pPr>
        <w:pStyle w:val="Normal"/>
        <w:rPr>
          <w:sz w:val="20"/>
        </w:rPr>
      </w:pPr>
      <w:r>
        <w:rPr>
          <w:sz w:val="20"/>
        </w:rPr>
      </w:r>
    </w:p>
    <w:p>
      <w:pPr>
        <w:pStyle w:val="Normal"/>
        <w:rPr>
          <w:sz w:val="20"/>
        </w:rPr>
      </w:pPr>
      <w:r>
        <w:rPr>
          <w:sz w:val="20"/>
        </w:rPr>
      </w:r>
      <w:r>
        <w:br w:type="page"/>
      </w:r>
    </w:p>
    <w:p>
      <w:pPr>
        <w:pStyle w:val="Normal"/>
        <w:spacing w:before="0" w:after="240"/>
        <w:rPr>
          <w:sz w:val="20"/>
        </w:rPr>
      </w:pPr>
      <w:r>
        <w:rPr>
          <w:sz w:val="20"/>
        </w:rPr>
        <w:t>IN WITNESS WHEREOF, the Parties have caused this Master Agreement to be duly executed as of the date first above written.</w:t>
      </w:r>
    </w:p>
    <w:p>
      <w:pPr>
        <w:pStyle w:val="Signature-dbl"/>
        <w:rPr>
          <w:sz w:val="20"/>
        </w:rPr>
      </w:pPr>
      <w:r>
        <w:rPr>
          <w:sz w:val="20"/>
        </w:rPr>
        <w:t>Party A Name</w:t>
        <w:tab/>
        <w:tab/>
        <w:t>Party B 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Normal"/>
        <w:rPr>
          <w:sz w:val="20"/>
        </w:rPr>
      </w:pPr>
      <w:r>
        <w:rPr>
          <w:sz w:val="20"/>
        </w:rPr>
      </w:r>
    </w:p>
    <w:p>
      <w:pPr>
        <w:pStyle w:val="Normal"/>
        <w:rPr>
          <w:sz w:val="20"/>
        </w:rPr>
      </w:pPr>
      <w:r>
        <w:rPr>
          <w:sz w:val="20"/>
        </w:rPr>
      </w:r>
    </w:p>
    <w:p>
      <w:pPr>
        <w:pStyle w:val="Normal"/>
        <w:rPr/>
      </w:pPr>
      <w:r>
        <w:rPr/>
      </w:r>
    </w:p>
    <w:p>
      <w:pPr>
        <w:pStyle w:val="BlockTextBold"/>
        <w:rPr/>
      </w:pPr>
      <w:r>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r>
        <w:br w:type="page"/>
      </w:r>
    </w:p>
    <w:p>
      <w:pPr>
        <w:pStyle w:val="Heading"/>
        <w:rPr/>
      </w:pPr>
      <w:r>
        <w:rPr/>
        <w:t>SCHEDULE M</w:t>
      </w:r>
      <w:r>
        <w:fldChar w:fldCharType="begin"/>
      </w:r>
      <w:r>
        <w:rPr/>
        <w:instrText xml:space="preserve"> TC "SCHEDULE M:  GOVERNMENTAL ENTITY OR PUBLIC POWER SYSTEMS" \l 1 </w:instrText>
      </w:r>
      <w:r>
        <w:rPr/>
        <w:fldChar w:fldCharType="separate"/>
      </w:r>
      <w:r>
        <w:rPr/>
      </w:r>
      <w:r>
        <w:rPr/>
        <w:fldChar w:fldCharType="end"/>
      </w:r>
      <w:bookmarkStart w:id="56" w:name="__RefHeading___Toc476669084"/>
      <w:bookmarkEnd w:id="56"/>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3.6.</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8.6.</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r>
        <w:br w:type="page"/>
      </w:r>
    </w:p>
    <w:p>
      <w:pPr>
        <w:pStyle w:val="Heading"/>
        <w:rPr/>
      </w:pPr>
      <w:r>
        <w:rPr/>
        <w:t>SCHEDULE P:  PRODUCTS AND RELATED DEFINITIONS</w:t>
      </w:r>
      <w:r>
        <w:fldChar w:fldCharType="begin"/>
      </w:r>
      <w:r>
        <w:rPr/>
        <w:instrText xml:space="preserve"> TC "SCHEDULE P:  PRODUCTS AND RELATED DEFINITIONS" \l 1 </w:instrText>
      </w:r>
      <w:r>
        <w:rPr/>
        <w:fldChar w:fldCharType="separate"/>
      </w:r>
      <w:r>
        <w:rPr/>
      </w:r>
      <w:r>
        <w:rPr/>
        <w:fldChar w:fldCharType="end"/>
      </w:r>
      <w:bookmarkStart w:id="57" w:name="__RefHeading___Toc476669085"/>
      <w:bookmarkEnd w:id="57"/>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r>
        <w:br w:type="page"/>
      </w:r>
    </w:p>
    <w:p>
      <w:pPr>
        <w:pStyle w:val="Title-Right"/>
        <w:rPr>
          <w:b w:val="false"/>
        </w:rPr>
      </w:pPr>
      <w:r>
        <w:rPr/>
        <w:t>EXHIBIT A</w:t>
      </w:r>
      <w:r>
        <w:fldChar w:fldCharType="begin"/>
      </w:r>
      <w:r>
        <w:rPr/>
        <w:instrText xml:space="preserve"> TC "EXHIBIT A:  CONFIRMATION LETTER" \l 1 </w:instrText>
      </w:r>
      <w:r>
        <w:rPr/>
        <w:fldChar w:fldCharType="separate"/>
      </w:r>
      <w:r>
        <w:rPr/>
      </w:r>
      <w:r>
        <w:rPr/>
        <w:fldChar w:fldCharType="end"/>
      </w:r>
      <w:bookmarkStart w:id="58" w:name="__RefHeading___Toc476669086"/>
      <w:bookmarkEnd w:id="58"/>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__________________________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rFonts w:eastAsia="Typographic Ext;Symbol" w:cs="Typographic Ext;Symbol" w:ascii="Typographic Ext;Symbol" w:hAnsi="Typographic Ext;Symbol"/>
        </w:rPr>
        <w:sym w:font="Typographic Ext;Symbol" w:char="f03a"/>
      </w:r>
      <w:r>
        <w:rPr/>
        <w:tab/>
        <w:t>Into _________________, Seller’s Daily Choice</w:t>
      </w:r>
    </w:p>
    <w:p>
      <w:pPr>
        <w:pStyle w:val="BodyText"/>
        <w:rPr/>
      </w:pPr>
      <w:r>
        <w:rPr>
          <w:rFonts w:eastAsia="Typographic Ext;Symbol" w:cs="Typographic Ext;Symbol" w:ascii="Typographic Ext;Symbol" w:hAnsi="Typographic Ext;Symbol"/>
        </w:rPr>
        <w:sym w:font="Typographic Ext;Symbol" w:char="f03a"/>
      </w:r>
      <w:r>
        <w:rPr/>
        <w:tab/>
        <w:t>Firm (LD)</w:t>
      </w:r>
    </w:p>
    <w:p>
      <w:pPr>
        <w:pStyle w:val="BodyText"/>
        <w:rPr/>
      </w:pPr>
      <w:r>
        <w:rPr>
          <w:rFonts w:eastAsia="Typographic Ext;Symbol" w:cs="Typographic Ext;Symbol" w:ascii="Typographic Ext;Symbol" w:hAnsi="Typographic Ext;Symbol"/>
        </w:rPr>
        <w:sym w:font="Typographic Ext;Symbol" w:char="f03a"/>
      </w:r>
      <w:r>
        <w:rPr/>
        <w:tab/>
        <w:t>Firm (No Force Majeure)</w:t>
      </w:r>
    </w:p>
    <w:p>
      <w:pPr>
        <w:pStyle w:val="BodyText"/>
        <w:rPr/>
      </w:pPr>
      <w:r>
        <w:rPr>
          <w:rFonts w:eastAsia="Typographic Ext;Symbol" w:cs="Typographic Ext;Symbol" w:ascii="Typographic Ext;Symbol" w:hAnsi="Typographic Ext;Symbol"/>
        </w:rPr>
        <w:sym w:font="Typographic Ext;Symbol" w:char="f03a"/>
      </w:r>
      <w:r>
        <w:rPr/>
        <w:tab/>
        <w:t xml:space="preserve">System Firm </w:t>
      </w:r>
    </w:p>
    <w:p>
      <w:pPr>
        <w:pStyle w:val="blockindentwline"/>
        <w:rPr/>
      </w:pPr>
      <w:r>
        <w:rPr/>
        <w:t xml:space="preserve">(Specify System:  </w:t>
      </w:r>
      <w:r>
        <w:rPr>
          <w:u w:val="single"/>
        </w:rPr>
        <w:tab/>
      </w:r>
      <w:r>
        <w:rPr/>
        <w:t>)</w:t>
      </w:r>
    </w:p>
    <w:p>
      <w:pPr>
        <w:pStyle w:val="BodyText"/>
        <w:rPr/>
      </w:pPr>
      <w:r>
        <w:rPr>
          <w:rFonts w:eastAsia="Typographic Ext;Symbol" w:cs="Typographic Ext;Symbol" w:ascii="Typographic Ext;Symbol" w:hAnsi="Typographic Ext;Symbol"/>
        </w:rPr>
        <w:sym w:font="Typographic Ext;Symbol" w:char="f03a"/>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rFonts w:eastAsia="Typographic Ext;Symbol" w:cs="Typographic Ext;Symbol" w:ascii="Typographic Ext;Symbol" w:hAnsi="Typographic Ext;Symbol"/>
        </w:rPr>
        <w:sym w:font="Typographic Ext;Symbol" w:char="f03a"/>
      </w:r>
      <w:r>
        <w:rPr/>
        <w:tab/>
        <w:t xml:space="preserve">Other  </w:t>
      </w:r>
      <w:r>
        <w:rPr>
          <w:u w:val="single"/>
        </w:rPr>
        <w:tab/>
      </w:r>
    </w:p>
    <w:p>
      <w:pPr>
        <w:pStyle w:val="BodyText"/>
        <w:rPr/>
      </w:pPr>
      <w:r>
        <w:rPr>
          <w:rFonts w:eastAsia="Typographic Ext;Symbol" w:cs="Typographic Ext;Symbol" w:ascii="Typographic Ext;Symbol" w:hAnsi="Typographic Ext;Symbol"/>
        </w:rPr>
        <w:sym w:font="Typographic Ext;Symbol" w:char="f03a"/>
      </w:r>
      <w:r>
        <w:rPr/>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rFonts w:eastAsia="Typographic Ext;Symbol" w:cs="Typographic Ext;Symbol" w:ascii="Typographic Ext;Symbol" w:hAnsi="Typographic Ext;Symbol"/>
        </w:rPr>
        <w:sym w:font="Typographic Ext;Symbol" w:char="f03a"/>
      </w:r>
      <w:r>
        <w:rPr/>
        <w:tab/>
        <w:t>FT-Contract Path Contingency</w:t>
        <w:tab/>
      </w:r>
      <w:r>
        <w:rPr>
          <w:rFonts w:eastAsia="Typographic Ext;Symbol" w:cs="Typographic Ext;Symbol" w:ascii="Typographic Ext;Symbol" w:hAnsi="Typographic Ext;Symbol"/>
        </w:rPr>
        <w:sym w:font="Typographic Ext;Symbol" w:char="f03a"/>
      </w:r>
      <w:r>
        <w:rPr/>
        <w:tab/>
        <w:t>Seller</w:t>
        <w:tab/>
      </w:r>
      <w:r>
        <w:rPr>
          <w:rFonts w:eastAsia="Typographic Ext;Symbol" w:cs="Typographic Ext;Symbol" w:ascii="Typographic Ext;Symbol" w:hAnsi="Typographic Ext;Symbol"/>
        </w:rPr>
        <w:sym w:font="Typographic Ext;Symbol" w:char="f03a"/>
      </w:r>
      <w:r>
        <w:rPr/>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rFonts w:eastAsia="Typographic Ext;Symbol" w:cs="Typographic Ext;Symbol" w:ascii="Typographic Ext;Symbol" w:hAnsi="Typographic Ext;Symbol"/>
        </w:rPr>
        <w:sym w:font="Typographic Ext;Symbol" w:char="f03a"/>
      </w:r>
      <w:r>
        <w:rPr/>
        <w:tab/>
        <w:t>FT-Delivery Point  Contingency</w:t>
        <w:tab/>
      </w:r>
      <w:r>
        <w:rPr>
          <w:rFonts w:eastAsia="Typographic Ext;Symbol" w:cs="Typographic Ext;Symbol" w:ascii="Typographic Ext;Symbol" w:hAnsi="Typographic Ext;Symbol"/>
        </w:rPr>
        <w:sym w:font="Typographic Ext;Symbol" w:char="f03a"/>
      </w:r>
      <w:r>
        <w:rPr/>
        <w:tab/>
        <w:t>Seller</w:t>
        <w:tab/>
      </w:r>
      <w:r>
        <w:rPr>
          <w:rFonts w:eastAsia="Typographic Ext;Symbol" w:cs="Typographic Ext;Symbol" w:ascii="Typographic Ext;Symbol" w:hAnsi="Typographic Ext;Symbol"/>
        </w:rPr>
        <w:sym w:font="Typographic Ext;Symbol" w:char="f03a"/>
      </w:r>
      <w:r>
        <w:rPr/>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rFonts w:eastAsia="Typographic Ext;Symbol" w:cs="Typographic Ext;Symbol" w:ascii="Typographic Ext;Symbol" w:hAnsi="Typographic Ext;Symbol"/>
        </w:rPr>
        <w:sym w:font="Typographic Ext;Symbol" w:char="f03a"/>
      </w:r>
      <w:r>
        <w:rPr/>
        <w:tab/>
        <w:t>Transmission Contingent</w:t>
        <w:tab/>
      </w:r>
      <w:r>
        <w:rPr>
          <w:rFonts w:eastAsia="Typographic Ext;Symbol" w:cs="Typographic Ext;Symbol" w:ascii="Typographic Ext;Symbol" w:hAnsi="Typographic Ext;Symbol"/>
        </w:rPr>
        <w:sym w:font="Typographic Ext;Symbol" w:char="f03a"/>
      </w:r>
      <w:r>
        <w:rPr/>
        <w:tab/>
        <w:t>Seller</w:t>
        <w:tab/>
      </w:r>
      <w:r>
        <w:rPr>
          <w:rFonts w:eastAsia="Typographic Ext;Symbol" w:cs="Typographic Ext;Symbol" w:ascii="Typographic Ext;Symbol" w:hAnsi="Typographic Ext;Symbol"/>
        </w:rPr>
        <w:sym w:font="Typographic Ext;Symbol" w:char="f03a"/>
      </w:r>
      <w:r>
        <w:rPr/>
        <w:tab/>
        <w:t>Buyer</w:t>
      </w:r>
    </w:p>
    <w:p>
      <w:pPr>
        <w:pStyle w:val="BodyText"/>
        <w:ind w:start="720" w:end="0"/>
        <w:rPr/>
      </w:pPr>
      <w:r>
        <w:rPr>
          <w:rFonts w:eastAsia="Typographic Ext;Symbol" w:cs="Typographic Ext;Symbol" w:ascii="Typographic Ext;Symbol" w:hAnsi="Typographic Ext;Symbol"/>
        </w:rPr>
        <w:sym w:font="Typographic Ext;Symbol" w:char="f03a"/>
      </w:r>
      <w:r>
        <w:rPr/>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t>[Party A]</w:t>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sectPr>
      <w:footerReference w:type="default" r:id="rId8"/>
      <w:footerReference w:type="first" r:id="rId9"/>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Typographic Ext">
    <w:altName w:val="Symbol"/>
    <w:charset w:val="0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t>Version 2.1 3/7/00 sponsored by the Edison Electric Institute and the National Energy Marketers Association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Version 2.1 3/7/00 sponsored by the Edison Electric Institute and the National Energy Marketers Association</w:t>
    </w: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Version 2.1 3/7/00 sponsored by the Edison Electric Institute and the National Energy Marketers Association</w:t>
    </w:r>
    <w: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HeadingStrip" w:val="Done"/>
    <w:docVar w:name="DocXParaNum" w:val="Done"/>
    <w:docVar w:name="DocXToolsFileType" w:val="Custom"/>
    <w:docVar w:name="iTrailerType" w:val="2"/>
    <w:docVar w:name="zzmpFixedDOC_ID" w:val="245365.1 305-1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rPr>
  </w:style>
  <w:style w:type="paragraph" w:styleId="TOC2">
    <w:name w:val="toc 2"/>
    <w:basedOn w:val="Normal"/>
    <w:next w:val="Normal"/>
    <w:pPr>
      <w:tabs>
        <w:tab w:val="clear" w:pos="720"/>
        <w:tab w:val="left" w:pos="1440" w:leader="none"/>
        <w:tab w:val="right" w:pos="9360" w:leader="dot"/>
      </w:tabs>
      <w:ind w:hanging="720" w:start="1440" w:end="720"/>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2001-05-07T16:13:00Z</dcterms:created>
  <dc:creator>WordProcessing</dc:creator>
  <dc:description/>
  <dc:language>en-CA</dc:language>
  <cp:lastModifiedBy>Jeb Loveless</cp:lastModifiedBy>
  <cp:lastPrinted>2000-03-10T12:44:00Z</cp:lastPrinted>
  <dcterms:modified xsi:type="dcterms:W3CDTF">2001-05-07T16:13:00Z</dcterms:modified>
  <cp:revision>2</cp:revision>
  <dc:subject/>
  <dc:title>  </dc:title>
</cp:coreProperties>
</file>