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t>Draft of August 17, 2001</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August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General Motors Corporation</w:t>
      </w:r>
    </w:p>
    <w:p>
      <w:pPr>
        <w:pStyle w:val="Normal"/>
        <w:jc w:val="both"/>
        <w:rPr>
          <w:rFonts w:ascii="Times New Roman" w:hAnsi="Times New Roman" w:cs="Times New Roman"/>
          <w:sz w:val="22"/>
        </w:rPr>
      </w:pPr>
      <w:r>
        <w:rPr>
          <w:rFonts w:cs="Times New Roman" w:ascii="Times New Roman" w:hAnsi="Times New Roman"/>
          <w:sz w:val="22"/>
        </w:rPr>
        <w:t>200 Renaissance Center</w:t>
      </w:r>
    </w:p>
    <w:p>
      <w:pPr>
        <w:pStyle w:val="Normal"/>
        <w:jc w:val="both"/>
        <w:rPr>
          <w:rFonts w:ascii="Times New Roman" w:hAnsi="Times New Roman" w:cs="Times New Roman"/>
          <w:sz w:val="22"/>
        </w:rPr>
      </w:pPr>
      <w:r>
        <w:rPr>
          <w:rFonts w:cs="Times New Roman" w:ascii="Times New Roman" w:hAnsi="Times New Roman"/>
          <w:sz w:val="22"/>
        </w:rPr>
        <w:t>Detroit, MI 48265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Richard Dix</w:t>
      </w:r>
    </w:p>
    <w:p>
      <w:pPr>
        <w:pStyle w:val="Normal"/>
        <w:ind w:firstLine="720" w:end="0"/>
        <w:jc w:val="both"/>
        <w:rPr>
          <w:rFonts w:ascii="Times New Roman" w:hAnsi="Times New Roman" w:cs="Times New Roman"/>
          <w:sz w:val="22"/>
        </w:rPr>
      </w:pPr>
      <w:r>
        <w:rPr>
          <w:rFonts w:cs="Times New Roman" w:ascii="Times New Roman" w:hAnsi="Times New Roman"/>
          <w:sz w:val="22"/>
        </w:rPr>
        <w:t>Director of Business Development</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General Motors Corporation (“GM”) and Enron Net Works LLC (“Enron”) (hereinafter individually and collectively referred to as a party) and their affiliates are prepared to furnish each other with proprietary information in connection with a possible transaction or other business relationship (“Transaction”) involving development of a procurement management and financial planning system incorporating certain technologies associated with Enron’s current commodity trading platform, which information shall be marked with a label indicating its proprietary nature (the "Confidential Information").  The term "Confidential Information" shall, with respect to the receiving party, not include information (a) that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(other than those retained for archival purposes) shall be retained by such party or its Representatives.  That portion of the Confidential Information that is found in analyses, compilations, studies or other documents prepared by or for a party, the Confidential Information that is oral (and described to the receiving party in writing within 10 days of the oral disclosure), archival copies of Confidential Information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by virtue of this agreement.</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2 and 3 hereof shall terminate on the date two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Upon execution of this letter agreement, and continuing until (a) execution of definitive documents for the Transaction, or (b) [June 30, 2002] (unless such date is extended by written agreement of GM and Enron), whichever occurs first, neither Enron nor any of its Representatives will negotiate with, or enter into any agreement or understanding with, any other automotive manufacturer or its affiliates or subsidiaries as to any business, transaction or arrangement the same as or similar to the Transaction.</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parties hereby terminate the letter agreement dated April 12, 2001 (the “April 12 Agreement”) between them, it being acknowledged and understood that (a) the Confidential Information protected under the April 12 Agreement has been protected under such agreement until the date hereof, and (b) such information shall be deemed “Confidential Information” to be protected hereunder commencing on the date hereof.</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GENERAL MOTORS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/mnt/main-storage/datasets/enron-docs/doc/NDA_with_EAconf.doc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General Motors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9360" w:leader="none"/>
      </w:tabs>
      <w:ind w:hanging="0" w:start="504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2001-08-20T09:47:00Z</dcterms:created>
  <dc:creator>ECT</dc:creator>
  <dc:description/>
  <dc:language>en-CA</dc:language>
  <cp:lastModifiedBy>GM</cp:lastModifiedBy>
  <cp:lastPrinted>2001-08-17T15:35:00Z</cp:lastPrinted>
  <dcterms:modified xsi:type="dcterms:W3CDTF">2001-08-20T09:47:00Z</dcterms:modified>
  <cp:revision>2</cp:revision>
  <dc:subject/>
  <dc:title>Reciprocal Confidentiality Agreement</dc:title>
</cp:coreProperties>
</file>