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b/>
        </w:rPr>
      </w:pPr>
      <w:r>
        <w:rPr>
          <w:b/>
        </w:rPr>
      </w:r>
    </w:p>
    <w:p>
      <w:pPr>
        <w:pStyle w:val="Normal"/>
        <w:rPr>
          <w:b/>
        </w:rPr>
      </w:pPr>
      <w:r>
        <w:rPr>
          <w:b/>
        </w:rPr>
        <w:t>Riskmetrics, [Inc.]</w:t>
      </w:r>
    </w:p>
    <w:p>
      <w:pPr>
        <w:pStyle w:val="Normal"/>
        <w:rPr>
          <w:b/>
        </w:rPr>
      </w:pPr>
      <w:r>
        <w:rPr>
          <w:b/>
        </w:rPr>
        <w:t>44 Wall Street</w:t>
      </w:r>
    </w:p>
    <w:p>
      <w:pPr>
        <w:pStyle w:val="Normal"/>
        <w:rPr/>
      </w:pPr>
      <w:r>
        <w:rPr>
          <w:b/>
        </w:rPr>
        <w:t>22</w:t>
      </w:r>
      <w:r>
        <w:rPr>
          <w:b/>
          <w:vertAlign w:val="superscript"/>
        </w:rPr>
        <w:t>nd</w:t>
      </w:r>
      <w:r>
        <w:rPr>
          <w:b/>
        </w:rPr>
        <w:t xml:space="preserve"> Floor</w:t>
      </w:r>
    </w:p>
    <w:p>
      <w:pPr>
        <w:pStyle w:val="Normal"/>
        <w:rPr>
          <w:b/>
        </w:rPr>
      </w:pPr>
      <w:r>
        <w:rPr>
          <w:b/>
        </w:rPr>
        <w:t>New York</w:t>
      </w:r>
    </w:p>
    <w:p>
      <w:pPr>
        <w:pStyle w:val="Normal"/>
        <w:rPr>
          <w:b/>
        </w:rPr>
      </w:pPr>
      <w:r>
        <w:rPr>
          <w:b/>
        </w:rPr>
        <w:t>NY 10005</w:t>
      </w:r>
    </w:p>
    <w:p>
      <w:pPr>
        <w:pStyle w:val="Normal"/>
        <w:rPr>
          <w:b/>
        </w:rPr>
      </w:pPr>
      <w:r>
        <w:rPr>
          <w:b/>
        </w:rPr>
      </w:r>
    </w:p>
    <w:p>
      <w:pPr>
        <w:pStyle w:val="Normal"/>
        <w:rPr>
          <w:b/>
        </w:rPr>
      </w:pPr>
      <w:r>
        <w:rPr>
          <w:b/>
        </w:rPr>
        <w:t>[Date]</w:t>
      </w:r>
    </w:p>
    <w:p>
      <w:pPr>
        <w:pStyle w:val="Normal"/>
        <w:rPr/>
      </w:pPr>
      <w:r>
        <w:rPr/>
      </w:r>
    </w:p>
    <w:p>
      <w:pPr>
        <w:pStyle w:val="Salutation"/>
        <w:rPr/>
      </w:pPr>
      <w:r>
        <w:rPr/>
        <w:t>Dear Sirs,</w:t>
      </w:r>
    </w:p>
    <w:p>
      <w:pPr>
        <w:pStyle w:val="Salutation"/>
        <w:rPr/>
      </w:pPr>
      <w:r>
        <w:rPr/>
      </w:r>
    </w:p>
    <w:p>
      <w:pPr>
        <w:pStyle w:val="Salutation"/>
        <w:rPr>
          <w:b/>
        </w:rPr>
      </w:pPr>
      <w:r>
        <w:rPr>
          <w:b/>
        </w:rPr>
        <w:t>Potential co-operation regardng creation of credit solutions linking EnronCredit.com’s information and transaction capability with Riskmetrics’ portfolio and risk analytics tool (the “Transaction”)</w:t>
      </w:r>
    </w:p>
    <w:p>
      <w:pPr>
        <w:pStyle w:val="Normal"/>
        <w:ind w:start="-1440" w:end="0"/>
        <w:rPr/>
      </w:pPr>
      <w:r>
        <w:rPr/>
      </w:r>
    </w:p>
    <w:p>
      <w:pPr>
        <w:pStyle w:val="BodyText"/>
        <w:jc w:val="both"/>
        <w:rPr/>
      </w:pPr>
      <w:r>
        <w:rPr/>
        <w:t>We refer to our recent discussions in which we agreed to exchange information for the purpose of evaluating the Transaction.  In that regard, the following terms are agreed:-</w:t>
      </w:r>
    </w:p>
    <w:p>
      <w:pPr>
        <w:pStyle w:val="ListBullet2"/>
        <w:jc w:val="both"/>
        <w:rPr/>
      </w:pPr>
      <w:r>
        <w:rPr/>
      </w:r>
    </w:p>
    <w:p>
      <w:pPr>
        <w:pStyle w:val="ListBullet2"/>
        <w:ind w:hanging="567" w:start="567" w:end="0"/>
        <w:jc w:val="both"/>
        <w:rPr/>
      </w:pPr>
      <w:r>
        <w:rPr/>
        <w:t>1.</w:t>
        <w:tab/>
        <w:t>In consideration of either of us (the “Owner”) making available to the other (the “Recipient”) information which is not publicly known concerning the Owner and its Affiliates (as defined in paragraph 6) and its and their respective businesses, future projects and financial and other affairs, in whatever form supplied to the Recipient, whether orally or in writing (collectively, “Confidential Information”), the Recipient agrees and undertakes as follows:-</w:t>
      </w:r>
    </w:p>
    <w:p>
      <w:pPr>
        <w:pStyle w:val="Normal"/>
        <w:ind w:hanging="567" w:start="567" w:end="0"/>
        <w:jc w:val="both"/>
        <w:rPr/>
      </w:pPr>
      <w:r>
        <w:rPr/>
      </w:r>
    </w:p>
    <w:p>
      <w:pPr>
        <w:pStyle w:val="ListBullet3"/>
        <w:ind w:hanging="567" w:start="1134" w:end="0"/>
        <w:jc w:val="both"/>
        <w:rPr/>
      </w:pPr>
      <w:r>
        <w:rPr/>
        <w:t>(i)</w:t>
        <w:tab/>
        <w:t xml:space="preserve">Confidential Information will only be used by it for its assessment of the Transaction and for any associated negotiations; </w:t>
      </w:r>
    </w:p>
    <w:p>
      <w:pPr>
        <w:pStyle w:val="ListBullet3"/>
        <w:ind w:hanging="567" w:start="1134" w:end="0"/>
        <w:jc w:val="both"/>
        <w:rPr/>
      </w:pPr>
      <w:r>
        <w:rPr/>
      </w:r>
    </w:p>
    <w:p>
      <w:pPr>
        <w:pStyle w:val="ListBullet3"/>
        <w:ind w:hanging="567" w:start="1134" w:end="0"/>
        <w:jc w:val="both"/>
        <w:rPr/>
      </w:pPr>
      <w:r>
        <w:rPr/>
        <w:t>(ii)</w:t>
        <w:tab/>
        <w:t>Confidential Information will only be disclosed to such of the Recipient’s, or its Affiliates’, directors, officers, employees, professional advisers, counsel and lenders or other providers of funds (collectively, “Representatives”) (a) who are directly concerned in its appraisal of the Transaction or in any associated negotiations, (b) whose knowledge of such information is essential for such appraisal or negotiations and (c) who agree to comply with the provisions of this letter in respect of Confidential Information. The Recipient undertakes to use its best endeavours to enforce such compliance; and</w:t>
      </w:r>
    </w:p>
    <w:p>
      <w:pPr>
        <w:pStyle w:val="Normal"/>
        <w:ind w:hanging="567" w:start="1134" w:end="0"/>
        <w:jc w:val="both"/>
        <w:rPr/>
      </w:pPr>
      <w:r>
        <w:rPr/>
      </w:r>
    </w:p>
    <w:p>
      <w:pPr>
        <w:pStyle w:val="ListBullet2"/>
        <w:ind w:hanging="567" w:start="1134" w:end="0"/>
        <w:rPr/>
      </w:pPr>
      <w:r>
        <w:rPr/>
        <w:t>(iii)</w:t>
        <w:tab/>
        <w:t>no announcement relating to the present correspondence between us or any subsequent related correspondence or negotiations between us will be made by either party or on its behalf without the other’s prior written consent.</w:t>
      </w:r>
    </w:p>
    <w:p>
      <w:pPr>
        <w:pStyle w:val="ListBullet2"/>
        <w:ind w:hanging="567" w:start="1134" w:end="0"/>
        <w:rPr/>
      </w:pPr>
      <w:r>
        <w:rPr/>
      </w:r>
    </w:p>
    <w:p>
      <w:pPr>
        <w:pStyle w:val="ListBullet2"/>
        <w:ind w:hanging="0" w:start="567" w:end="0"/>
        <w:rPr/>
      </w:pPr>
      <w:r>
        <w:rPr/>
        <w:t>This undertaking does not apply to Confidential Information (i) which, after disclosure to the Recipient, becomes generally available to third parties, other than through breach by the Recipient of any obligation arising from this letter, or (ii) which was lawfully in the Recipient’s possession prior to such disclosure (as evidenced by its or its advisers’ written records) and which was not acquired directly or indirectly from the Owner or an Affiliate, or (iii) which is lawfully received or obtained by the Recipient from a third party which has acquired it lawfully and is not bound by an obligation of confidentiality to the Owner or an Affiliate.</w:t>
      </w:r>
    </w:p>
    <w:p>
      <w:pPr>
        <w:pStyle w:val="ListBullet2"/>
        <w:ind w:hanging="567" w:start="567" w:end="0"/>
        <w:rPr/>
      </w:pPr>
      <w:r>
        <w:rPr/>
      </w:r>
    </w:p>
    <w:p>
      <w:pPr>
        <w:pStyle w:val="ListBullet2"/>
        <w:ind w:hanging="567" w:start="567" w:end="0"/>
        <w:rPr/>
      </w:pPr>
      <w:r>
        <w:rPr/>
        <w:t>2.</w:t>
        <w:tab/>
        <w:t>Where, in the Recipient’s reasonable opinion, a disclosure of the type mentioned in paragraph 1 or, in either party’s reasonable opinion, an announcement of the type mentioned in paragraph 1 is required by law, a rule of a stock exchange on which its shares (or those of an Affiliate) are listed or traded, or a governmental authority or other authority with relevant powers, the disclosure or announcement shall be made by it after consultation with the Owner or the other party (as the case may be) and taking into account its reasonable requirements as to its timing and contents and how it is made.</w:t>
      </w:r>
    </w:p>
    <w:p>
      <w:pPr>
        <w:pStyle w:val="ListBullet2"/>
        <w:ind w:hanging="567" w:start="567" w:end="0"/>
        <w:rPr/>
      </w:pPr>
      <w:r>
        <w:rPr/>
      </w:r>
    </w:p>
    <w:p>
      <w:pPr>
        <w:pStyle w:val="ListBullet2"/>
        <w:ind w:hanging="567" w:start="567" w:end="0"/>
        <w:jc w:val="both"/>
        <w:rPr/>
      </w:pPr>
      <w:r>
        <w:rPr/>
        <w:t>3.</w:t>
        <w:tab/>
        <w:t>Neither this letter, nor the supply of Confidential Information to the Recipient or any negotiations in respect of the Transaction with the Recipient, constitutes an offer by the Owner or on its behalf or forms the basis of any agreement.  The Recipient acknowledges that the Owner is free to negotiate at the same time with persons other than the Recipient in respect of the Transaction.</w:t>
      </w:r>
    </w:p>
    <w:p>
      <w:pPr>
        <w:pStyle w:val="ListBullet2"/>
        <w:ind w:hanging="567" w:start="567" w:end="0"/>
        <w:jc w:val="both"/>
        <w:rPr/>
      </w:pPr>
      <w:r>
        <w:rPr/>
      </w:r>
    </w:p>
    <w:p>
      <w:pPr>
        <w:pStyle w:val="ListBullet2"/>
        <w:ind w:hanging="567" w:start="567" w:end="0"/>
        <w:jc w:val="both"/>
        <w:rPr/>
      </w:pPr>
      <w:r>
        <w:rPr/>
        <w:t xml:space="preserve">4. </w:t>
        <w:tab/>
        <w:t>The Recipient agrees and acknowledges that (i) no representation or warranty, express or implied, is made by the Owner as to the truth, accuracy, completeness or reasonableness of any Confidential Information and neither the Owner nor its Affiliates, nor any of its or their Representatives, shall have any liability to the Recipient or its Affiliates, nor any of its or their Representatives, resulting from the use of Confidential Information; (ii) no right or licence is granted to the Recipient in relation to Confidential Information except as set out in this letter; (iii) damages may not be an adequate remedy for any breach by the Recipient of the terms contained in this letter; and (iv) the Recipient is acting as a principal on its own account and not on behalf of any other party in respect of the Transaction.</w:t>
      </w:r>
    </w:p>
    <w:p>
      <w:pPr>
        <w:pStyle w:val="ListBullet2"/>
        <w:ind w:hanging="567" w:start="567" w:end="0"/>
        <w:jc w:val="both"/>
        <w:rPr/>
      </w:pPr>
      <w:r>
        <w:rPr/>
      </w:r>
    </w:p>
    <w:p>
      <w:pPr>
        <w:pStyle w:val="ListBullet2"/>
        <w:ind w:hanging="567" w:start="567" w:end="0"/>
        <w:jc w:val="both"/>
        <w:rPr/>
      </w:pPr>
      <w:r>
        <w:rPr/>
        <w:t>5.</w:t>
        <w:tab/>
        <w:t>If the Owner requests in writing, the Recipient will return to it</w:t>
      </w:r>
      <w:r>
        <w:rPr>
          <w:i/>
        </w:rPr>
        <w:t xml:space="preserve"> </w:t>
      </w:r>
      <w:r>
        <w:rPr/>
        <w:t>(or destroy as it may direct) all documents and other written material disclosed or made available to the Recipient under the terms of this letter, together with any copies thereof, and will erase from any computer under its, or its Affiliates’ control, any document or file containing or reflecting Confidential Information in a manner that makes the erased data permanently irrecoverable.  Any Confidential Information that is oral or that is contained as part of written analyses, compilations, studies or other documents prepared by or for the Recipient will continue to be held subject to the terms of this letter.</w:t>
      </w:r>
    </w:p>
    <w:p>
      <w:pPr>
        <w:pStyle w:val="ListBullet2"/>
        <w:ind w:hanging="567" w:start="567" w:end="0"/>
        <w:jc w:val="both"/>
        <w:rPr/>
      </w:pPr>
      <w:r>
        <w:rPr/>
      </w:r>
    </w:p>
    <w:p>
      <w:pPr>
        <w:pStyle w:val="ListBullet2"/>
        <w:ind w:hanging="567" w:start="567" w:end="0"/>
        <w:jc w:val="both"/>
        <w:rPr/>
      </w:pPr>
      <w:r>
        <w:rPr/>
        <w:t>6.</w:t>
        <w:tab/>
        <w:t>For the purposes of this letter, a company is an “Affiliate” of a party if such company, directly or indirectly, controls or is controlled by, or is under common control with, such party.  A company “controls” another company if it possesses (whether by virtue of shares of that other company held by it, rights otherwise conferred on it by that other company’s constitution or an agreement with other shareholders of that company) a majority of the voting rights in such other company or is a shareholder of such other company with the right to appoint or remove a majority of its directors.</w:t>
      </w:r>
    </w:p>
    <w:p>
      <w:pPr>
        <w:pStyle w:val="ListBullet2"/>
        <w:ind w:hanging="567" w:start="567" w:end="0"/>
        <w:jc w:val="both"/>
        <w:rPr/>
      </w:pPr>
      <w:r>
        <w:rPr/>
      </w:r>
    </w:p>
    <w:p>
      <w:pPr>
        <w:pStyle w:val="ListBullet2"/>
        <w:ind w:hanging="567" w:start="567" w:end="0"/>
        <w:jc w:val="both"/>
        <w:rPr/>
      </w:pPr>
      <w:r>
        <w:rPr/>
        <w:t>7.</w:t>
        <w:tab/>
        <w:t>The terms of this letter shall be binding on each party for three years from the date of this letter.</w:t>
      </w:r>
    </w:p>
    <w:p>
      <w:pPr>
        <w:pStyle w:val="ListBullet2"/>
        <w:ind w:hanging="567" w:start="567" w:end="0"/>
        <w:jc w:val="both"/>
        <w:rPr/>
      </w:pPr>
      <w:r>
        <w:rPr/>
      </w:r>
    </w:p>
    <w:p>
      <w:pPr>
        <w:pStyle w:val="ListBullet2"/>
        <w:ind w:hanging="567" w:start="567" w:end="0"/>
        <w:jc w:val="both"/>
        <w:rPr/>
      </w:pPr>
      <w:r>
        <w:rPr/>
        <w:t>8.</w:t>
        <w:tab/>
        <w:t>The parties to this letter do not intend that any term of this letter should be enforceable, by virtue of the Contracts (Rights of Third Parties) Act 1999, by any person who is not a party to this letter.</w:t>
      </w:r>
    </w:p>
    <w:p>
      <w:pPr>
        <w:pStyle w:val="ListBullet2"/>
        <w:ind w:hanging="567" w:start="567" w:end="0"/>
        <w:jc w:val="both"/>
        <w:rPr/>
      </w:pPr>
      <w:r>
        <w:rPr/>
      </w:r>
    </w:p>
    <w:p>
      <w:pPr>
        <w:pStyle w:val="ListBullet2"/>
        <w:ind w:hanging="567" w:start="567" w:end="0"/>
        <w:jc w:val="both"/>
        <w:rPr/>
      </w:pPr>
      <w:r>
        <w:rPr/>
        <w:t xml:space="preserve">9. </w:t>
        <w:tab/>
        <w:t>This letter shall be governed by and construed in accordance with the laws of England.</w:t>
      </w:r>
    </w:p>
    <w:p>
      <w:pPr>
        <w:pStyle w:val="ListBullet2"/>
        <w:ind w:hanging="567" w:start="567" w:end="0"/>
        <w:jc w:val="both"/>
        <w:rPr/>
      </w:pPr>
      <w:r>
        <w:rPr/>
      </w:r>
    </w:p>
    <w:p>
      <w:pPr>
        <w:pStyle w:val="ListBullet2"/>
        <w:ind w:hanging="567" w:start="567" w:end="0"/>
        <w:jc w:val="both"/>
        <w:rPr/>
      </w:pPr>
      <w:r>
        <w:rPr/>
        <w:t xml:space="preserve">10. </w:t>
        <w:tab/>
        <w:t>The courts of England shall have exclusive jurisdiction to hear and decide any suit, action or proceedings, and to settle any disputes, which may arise out of or in connection with this letter (respectively, “Proceedings” and “Disputes”) and, for these purposes, each party:-</w:t>
      </w:r>
    </w:p>
    <w:p>
      <w:pPr>
        <w:pStyle w:val="ListBullet2"/>
        <w:ind w:hanging="567" w:start="567" w:end="0"/>
        <w:jc w:val="both"/>
        <w:rPr/>
      </w:pPr>
      <w:r>
        <w:rPr/>
      </w:r>
    </w:p>
    <w:p>
      <w:pPr>
        <w:pStyle w:val="ListBullet2"/>
        <w:ind w:hanging="567" w:start="1134" w:end="0"/>
        <w:jc w:val="both"/>
        <w:rPr/>
      </w:pPr>
      <w:r>
        <w:rPr/>
        <w:t>(a)</w:t>
        <w:tab/>
        <w:t>irrevocably submits to the jurisdiction of the courts of England;</w:t>
      </w:r>
    </w:p>
    <w:p>
      <w:pPr>
        <w:pStyle w:val="ListBullet2"/>
        <w:ind w:hanging="567" w:start="1134" w:end="0"/>
        <w:jc w:val="both"/>
        <w:rPr/>
      </w:pPr>
      <w:r>
        <w:rPr/>
      </w:r>
    </w:p>
    <w:p>
      <w:pPr>
        <w:pStyle w:val="ListBullet2"/>
        <w:ind w:hanging="567" w:start="1134" w:end="0"/>
        <w:jc w:val="both"/>
        <w:rPr/>
      </w:pPr>
      <w:r>
        <w:rPr/>
        <w:t>(b)</w:t>
        <w:tab/>
        <w:t>irrevocably waives any objection it might at any time have to the courts of England being nominated as the forum to hear and decide any Proceedings and to settle any Disputes; and</w:t>
      </w:r>
    </w:p>
    <w:p>
      <w:pPr>
        <w:pStyle w:val="ListBullet2"/>
        <w:ind w:hanging="567" w:start="1134" w:end="0"/>
        <w:jc w:val="both"/>
        <w:rPr/>
      </w:pPr>
      <w:r>
        <w:rPr/>
      </w:r>
    </w:p>
    <w:p>
      <w:pPr>
        <w:pStyle w:val="ListBullet2"/>
        <w:ind w:hanging="567" w:start="1134" w:end="0"/>
        <w:jc w:val="both"/>
        <w:rPr/>
      </w:pPr>
      <w:r>
        <w:rPr/>
        <w:t>(c)</w:t>
        <w:tab/>
        <w:t>agrees not to claim that the courts of England are not a convenient or appropriate forum.</w:t>
      </w:r>
    </w:p>
    <w:p>
      <w:pPr>
        <w:pStyle w:val="ListBullet2"/>
        <w:ind w:hanging="1" w:start="0" w:end="0"/>
        <w:jc w:val="both"/>
        <w:rPr/>
      </w:pPr>
      <w:r>
        <w:rPr/>
      </w:r>
    </w:p>
    <w:p>
      <w:pPr>
        <w:pStyle w:val="ListBullet2"/>
        <w:ind w:hanging="1" w:start="0" w:end="0"/>
        <w:jc w:val="both"/>
        <w:rPr/>
      </w:pPr>
      <w:r>
        <w:rPr/>
        <w:t>Please confirm your acceptance of the terms of this letter by signing and returning to us the enclosed copy of this letter.</w:t>
      </w:r>
    </w:p>
    <w:p>
      <w:pPr>
        <w:pStyle w:val="ListBullet2"/>
        <w:jc w:val="both"/>
        <w:rPr/>
      </w:pPr>
      <w:r>
        <w:rPr/>
      </w:r>
    </w:p>
    <w:p>
      <w:pPr>
        <w:pStyle w:val="List"/>
        <w:jc w:val="both"/>
        <w:rPr/>
      </w:pPr>
      <w:r>
        <w:rPr/>
        <w:t>Yours faithfully</w:t>
      </w:r>
    </w:p>
    <w:p>
      <w:pPr>
        <w:pStyle w:val="List"/>
        <w:jc w:val="both"/>
        <w:rPr/>
      </w:pPr>
      <w:r>
        <w:rPr/>
      </w:r>
    </w:p>
    <w:p>
      <w:pPr>
        <w:pStyle w:val="List"/>
        <w:jc w:val="both"/>
        <w:rPr/>
      </w:pPr>
      <w:r>
        <w:rPr/>
      </w:r>
    </w:p>
    <w:p>
      <w:pPr>
        <w:pStyle w:val="List"/>
        <w:jc w:val="both"/>
        <w:rPr/>
      </w:pPr>
      <w:r>
        <w:rPr/>
      </w:r>
    </w:p>
    <w:tbl>
      <w:tblPr>
        <w:tblW w:w="10396" w:type="dxa"/>
        <w:jc w:val="start"/>
        <w:tblInd w:w="0" w:type="dxa"/>
        <w:tblLayout w:type="fixed"/>
        <w:tblCellMar>
          <w:top w:w="0" w:type="dxa"/>
          <w:start w:w="108" w:type="dxa"/>
          <w:bottom w:w="0" w:type="dxa"/>
          <w:end w:w="108" w:type="dxa"/>
        </w:tblCellMar>
      </w:tblPr>
      <w:tblGrid>
        <w:gridCol w:w="5920"/>
        <w:gridCol w:w="4476"/>
      </w:tblGrid>
      <w:tr>
        <w:trPr/>
        <w:tc>
          <w:tcPr>
            <w:tcW w:w="5920" w:type="dxa"/>
            <w:tcBorders/>
          </w:tcPr>
          <w:p>
            <w:pPr>
              <w:pStyle w:val="List"/>
              <w:ind w:hanging="0" w:start="0" w:end="0"/>
              <w:jc w:val="both"/>
              <w:rPr/>
            </w:pPr>
            <w:r>
              <w:rPr/>
              <w:t>__________________________________</w:t>
            </w:r>
          </w:p>
          <w:p>
            <w:pPr>
              <w:pStyle w:val="Normal"/>
              <w:rPr/>
            </w:pPr>
            <w:r>
              <w:rPr/>
              <w:t>For and on behalf of</w:t>
            </w:r>
          </w:p>
          <w:p>
            <w:pPr>
              <w:pStyle w:val="List"/>
              <w:ind w:hanging="0" w:start="0" w:end="0"/>
              <w:jc w:val="both"/>
              <w:rPr>
                <w:b/>
              </w:rPr>
            </w:pPr>
            <w:r>
              <w:rPr>
                <w:b/>
              </w:rPr>
              <w:t>Enron Credit.com Limited</w:t>
            </w:r>
          </w:p>
          <w:p>
            <w:pPr>
              <w:pStyle w:val="List"/>
              <w:ind w:hanging="0" w:start="0" w:end="0"/>
              <w:jc w:val="both"/>
              <w:rPr>
                <w:b/>
                <w:u w:val="single"/>
              </w:rPr>
            </w:pPr>
            <w:r>
              <w:rPr>
                <w:b/>
                <w:u w:val="single"/>
              </w:rPr>
            </w:r>
          </w:p>
        </w:tc>
        <w:tc>
          <w:tcPr>
            <w:tcW w:w="4476" w:type="dxa"/>
            <w:tcBorders/>
          </w:tcPr>
          <w:p>
            <w:pPr>
              <w:pStyle w:val="List"/>
              <w:snapToGrid w:val="false"/>
              <w:ind w:hanging="0" w:start="0" w:end="0"/>
              <w:jc w:val="both"/>
              <w:rPr>
                <w:u w:val="single"/>
              </w:rPr>
            </w:pPr>
            <w:r>
              <w:rPr>
                <w:u w:val="single"/>
              </w:rPr>
            </w:r>
          </w:p>
        </w:tc>
      </w:tr>
    </w:tbl>
    <w:p>
      <w:pPr>
        <w:pStyle w:val="List"/>
        <w:ind w:hanging="0" w:start="0" w:end="0"/>
        <w:jc w:val="both"/>
        <w:rPr/>
      </w:pPr>
      <w:r>
        <w:rPr/>
      </w:r>
    </w:p>
    <w:p>
      <w:pPr>
        <w:pStyle w:val="List"/>
        <w:ind w:hanging="0" w:start="0" w:end="0"/>
        <w:jc w:val="both"/>
        <w:rPr>
          <w:b/>
        </w:rPr>
      </w:pPr>
      <w:r>
        <w:rPr>
          <w:b/>
        </w:rPr>
      </w:r>
    </w:p>
    <w:p>
      <w:pPr>
        <w:pStyle w:val="List"/>
        <w:ind w:hanging="0" w:start="0" w:end="0"/>
        <w:jc w:val="both"/>
        <w:rPr>
          <w:b/>
        </w:rPr>
      </w:pPr>
      <w:r>
        <w:rPr>
          <w:b/>
        </w:rPr>
        <w:t>AGREED AND ACCEPTED</w:t>
      </w:r>
    </w:p>
    <w:p>
      <w:pPr>
        <w:pStyle w:val="List"/>
        <w:ind w:hanging="0" w:start="0" w:end="0"/>
        <w:jc w:val="both"/>
        <w:rPr>
          <w:b/>
        </w:rPr>
      </w:pPr>
      <w:r>
        <w:rPr>
          <w:b/>
        </w:rPr>
      </w:r>
    </w:p>
    <w:p>
      <w:pPr>
        <w:pStyle w:val="List"/>
        <w:ind w:hanging="0" w:start="0" w:end="0"/>
        <w:jc w:val="both"/>
        <w:rPr/>
      </w:pPr>
      <w:r>
        <w:rPr/>
      </w:r>
    </w:p>
    <w:p>
      <w:pPr>
        <w:pStyle w:val="List"/>
        <w:ind w:hanging="0" w:start="0" w:end="0"/>
        <w:jc w:val="both"/>
        <w:rPr/>
      </w:pPr>
      <w:r>
        <w:rPr/>
      </w:r>
    </w:p>
    <w:p>
      <w:pPr>
        <w:pStyle w:val="List"/>
        <w:ind w:hanging="0" w:start="0" w:end="0"/>
        <w:jc w:val="both"/>
        <w:rPr/>
      </w:pPr>
      <w:r>
        <w:rPr/>
      </w:r>
    </w:p>
    <w:p>
      <w:pPr>
        <w:pStyle w:val="List"/>
        <w:ind w:hanging="0" w:start="0" w:end="0"/>
        <w:jc w:val="both"/>
        <w:rPr/>
      </w:pPr>
      <w:r>
        <w:rPr/>
        <w:t>__________________________________</w:t>
      </w:r>
    </w:p>
    <w:p>
      <w:pPr>
        <w:pStyle w:val="List"/>
        <w:ind w:hanging="0" w:start="0" w:end="0"/>
        <w:jc w:val="both"/>
        <w:rPr/>
      </w:pPr>
      <w:r>
        <w:rPr/>
        <w:t>For and on behalf of</w:t>
      </w:r>
    </w:p>
    <w:p>
      <w:pPr>
        <w:pStyle w:val="List"/>
        <w:ind w:hanging="0" w:start="0" w:end="0"/>
        <w:jc w:val="both"/>
        <w:rPr>
          <w:b/>
        </w:rPr>
      </w:pPr>
      <w:r>
        <w:rPr>
          <w:b/>
        </w:rPr>
        <w:t>Riskmetrics [Inc.]</w:t>
      </w:r>
    </w:p>
    <w:p>
      <w:pPr>
        <w:pStyle w:val="List"/>
        <w:ind w:hanging="0" w:start="0" w:end="0"/>
        <w:jc w:val="both"/>
        <w:rPr>
          <w:b/>
        </w:rPr>
      </w:pPr>
      <w:r>
        <w:rPr>
          <w:b/>
        </w:rPr>
      </w:r>
    </w:p>
    <w:p>
      <w:pPr>
        <w:pStyle w:val="List"/>
        <w:ind w:hanging="0" w:start="0" w:end="0"/>
        <w:jc w:val="both"/>
        <w:rPr/>
      </w:pPr>
      <w:r>
        <w:rPr/>
      </w:r>
    </w:p>
    <w:p>
      <w:pPr>
        <w:pStyle w:val="List"/>
        <w:ind w:hanging="0" w:start="0" w:end="0"/>
        <w:jc w:val="both"/>
        <w:rPr/>
      </w:pPr>
      <w:r>
        <w:rPr/>
        <w:t>Date: …………..………………………</w:t>
      </w:r>
    </w:p>
    <w:sectPr>
      <w:headerReference w:type="default" r:id="rId2"/>
      <w:footerReference w:type="default" r:id="rId3"/>
      <w:type w:val="nextPage"/>
      <w:pgSz w:w="11906" w:h="16838"/>
      <w:pgMar w:left="1412" w:right="1412" w:gutter="0" w:header="720" w:top="1412" w:footer="431" w:bottom="141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s:\legal\Riskmetrics_Adam Tyrrell</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Salutation">
    <w:name w:val="Salutation"/>
    <w:basedOn w:val="Normal"/>
    <w:qFormat/>
    <w:pPr/>
    <w:rPr/>
  </w:style>
  <w:style w:type="paragraph" w:styleId="Date">
    <w:name w:val="Date"/>
    <w:basedOn w:val="Normal"/>
    <w:qFormat/>
    <w:pPr/>
    <w:rPr/>
  </w:style>
  <w:style w:type="paragraph" w:styleId="InsideAddress">
    <w:name w:val="Inside Address"/>
    <w:basedOn w:val="Normal"/>
    <w:qFormat/>
    <w:pPr/>
    <w:rPr/>
  </w:style>
  <w:style w:type="paragraph" w:styleId="BodyText2">
    <w:name w:val="Body Text 2"/>
    <w:basedOn w:val="Normal"/>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2000-09-28T12:14:00Z</dcterms:created>
  <dc:creator>Unknown</dc:creator>
  <dc:description/>
  <dc:language>en-CA</dc:language>
  <cp:lastModifiedBy>ATYRRELL</cp:lastModifiedBy>
  <cp:lastPrinted>1998-08-06T15:38:00Z</cp:lastPrinted>
  <dcterms:modified xsi:type="dcterms:W3CDTF">2000-09-28T12:14:00Z</dcterms:modified>
  <cp:revision>2</cp:revision>
  <dc:subject>Exchanging Information</dc:subject>
  <dc:title>Standard Confidentiality Agreement</dc:title>
</cp:coreProperties>
</file>