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0"/>
        <w:jc w:val="center"/>
        <w:rPr/>
      </w:pPr>
      <w:r>
        <w:rPr/>
        <w:t>CONFIDENTIALITY AND NON-DISCLOSURE AGREEMENT</w:t>
      </w:r>
    </w:p>
    <w:p>
      <w:pPr>
        <w:pStyle w:val="Normal"/>
        <w:jc w:val="center"/>
        <w:rPr>
          <w:sz w:val="28"/>
          <w:u w:val="double"/>
        </w:rPr>
      </w:pPr>
      <w:r>
        <w:rPr>
          <w:sz w:val="28"/>
          <w:u w:val="double"/>
        </w:rPr>
      </w:r>
    </w:p>
    <w:p>
      <w:pPr>
        <w:pStyle w:val="Normal"/>
        <w:jc w:val="both"/>
        <w:rPr>
          <w:sz w:val="28"/>
          <w:u w:val="double"/>
        </w:rPr>
      </w:pPr>
      <w:r>
        <w:rPr>
          <w:sz w:val="28"/>
          <w:u w:val="double"/>
        </w:rPr>
      </w:r>
    </w:p>
    <w:p>
      <w:pPr>
        <w:pStyle w:val="Normal"/>
        <w:jc w:val="both"/>
        <w:rPr/>
      </w:pPr>
      <w:r>
        <w:rPr/>
        <w:t>THIS AGREEMENT entered into this 4th day of April 2000, by and between, Enron North America, Inc., 1400 Smith Street, Houston, Texas 77002 (“Enron”), APB Energy, Inc., 9931 Corporate Campus Drive, Suite 2400, Louisville, Kentucky 40223 (“APB”) and True Quote LLC, 9931 Corporate Campus Drive, Suite 2400, Louisville, Kentucky 40223 (“True Quote”).</w:t>
      </w:r>
    </w:p>
    <w:p>
      <w:pPr>
        <w:pStyle w:val="Normal"/>
        <w:jc w:val="both"/>
        <w:rPr/>
      </w:pPr>
      <w:r>
        <w:rPr/>
      </w:r>
    </w:p>
    <w:p>
      <w:pPr>
        <w:pStyle w:val="Normal"/>
        <w:jc w:val="both"/>
        <w:rPr/>
      </w:pPr>
      <w:r>
        <w:rPr/>
        <w:t>WHEREAS, Enron, APB and True Quote desire to disclose certain confidential information to each other, and</w:t>
      </w:r>
    </w:p>
    <w:p>
      <w:pPr>
        <w:pStyle w:val="Normal"/>
        <w:jc w:val="both"/>
        <w:rPr/>
      </w:pPr>
      <w:r>
        <w:rPr/>
      </w:r>
    </w:p>
    <w:p>
      <w:pPr>
        <w:pStyle w:val="BodyText"/>
        <w:rPr/>
      </w:pPr>
      <w:r>
        <w:rPr/>
        <w:t xml:space="preserve">WHEREAS, the disclosing party (“Disclosing Party”) is willing to disclose orally and/or in writing to the receiving party (“Receiving Party”), for the limited purposes and on the terms and conditions set forth in this Agreement, certain confidential information, software applications, business plans, financial information, data and materials concerning Disclosing Party (“Proprietary Information”) and Receiving Party hereby acknowledges that it will receive such Proprietary Information solely for the limited purposes and on the terms and conditions of this Agreement, </w:t>
      </w:r>
    </w:p>
    <w:p>
      <w:pPr>
        <w:pStyle w:val="Normal"/>
        <w:jc w:val="both"/>
        <w:rPr>
          <w:u w:val="double"/>
        </w:rPr>
      </w:pPr>
      <w:r>
        <w:rPr>
          <w:u w:val="double"/>
        </w:rPr>
      </w:r>
    </w:p>
    <w:p>
      <w:pPr>
        <w:pStyle w:val="Normal"/>
        <w:jc w:val="both"/>
        <w:rPr/>
      </w:pPr>
      <w:r>
        <w:rPr/>
        <w:t>NOW, THEREFORE, the parties agree as follows:</w:t>
      </w:r>
    </w:p>
    <w:p>
      <w:pPr>
        <w:pStyle w:val="Normal"/>
        <w:spacing w:before="240" w:after="0"/>
        <w:ind w:hanging="720" w:start="720" w:end="0"/>
        <w:jc w:val="both"/>
        <w:rPr/>
      </w:pPr>
      <w:r>
        <w:rPr/>
        <w:t>1.</w:t>
        <w:tab/>
        <w:t>In consideration to the disclosure by Disclosing Party of its Proprietary Information to Receiving Party, Receiving Party hereby recognizes the confidential nature of, and Disclosing Party’s proprietary rights and interest in, the Proprietary Information, and Receiving Party further agrees:</w:t>
      </w:r>
    </w:p>
    <w:p>
      <w:pPr>
        <w:pStyle w:val="Normal"/>
        <w:spacing w:before="120" w:after="0"/>
        <w:ind w:hanging="720" w:start="1440" w:end="0"/>
        <w:jc w:val="both"/>
        <w:rPr/>
      </w:pPr>
      <w:r>
        <w:rPr/>
        <w:t>(a)</w:t>
        <w:tab/>
        <w:t>to receive and hold all Proprietary Information in strictest confidence;</w:t>
      </w:r>
    </w:p>
    <w:p>
      <w:pPr>
        <w:pStyle w:val="Normal"/>
        <w:spacing w:before="120" w:after="0"/>
        <w:ind w:hanging="720" w:start="1440" w:end="0"/>
        <w:jc w:val="both"/>
        <w:rPr>
          <w:u w:val="double"/>
        </w:rPr>
      </w:pPr>
      <w:r>
        <w:rPr/>
        <w:t>(b)</w:t>
        <w:tab/>
        <w:t>to use the Proprietary Information only for the purpose of evaluating a possible business relationship between the parties;</w:t>
      </w:r>
    </w:p>
    <w:p>
      <w:pPr>
        <w:pStyle w:val="Normal"/>
        <w:tabs>
          <w:tab w:val="clear" w:pos="720"/>
          <w:tab w:val="left" w:pos="-1800" w:leader="none"/>
        </w:tabs>
        <w:spacing w:before="240" w:after="0"/>
        <w:ind w:hanging="720" w:start="1440" w:end="0"/>
        <w:jc w:val="both"/>
        <w:rPr/>
      </w:pPr>
      <w:r>
        <w:rPr/>
        <w:t>(c)</w:t>
        <w:tab/>
        <w:t>that neither Receiving Party nor any of its employees and agents will distribute, transfer or disclose in any way to any other person, corporation or other entity any of the Proprietary Information without the prior written consent of Disclosing Party, and only those employees and agents of Receiving Party having a “need to know” shall have access to the Proprietary Information; and</w:t>
      </w:r>
    </w:p>
    <w:p>
      <w:pPr>
        <w:pStyle w:val="Normal"/>
        <w:tabs>
          <w:tab w:val="clear" w:pos="720"/>
          <w:tab w:val="left" w:pos="-1800" w:leader="none"/>
        </w:tabs>
        <w:spacing w:before="240" w:after="0"/>
        <w:ind w:hanging="720" w:start="1440" w:end="0"/>
        <w:jc w:val="both"/>
        <w:rPr/>
      </w:pPr>
      <w:r>
        <w:rPr/>
        <w:t>(d)</w:t>
        <w:tab/>
        <w:t>not to permit any person to do any act or make any omission prohibited by this Agreement.</w:t>
      </w:r>
    </w:p>
    <w:p>
      <w:pPr>
        <w:pStyle w:val="Normal"/>
        <w:tabs>
          <w:tab w:val="clear" w:pos="720"/>
          <w:tab w:val="left" w:pos="-1800" w:leader="none"/>
        </w:tabs>
        <w:spacing w:before="240" w:after="0"/>
        <w:ind w:hanging="720" w:start="720" w:end="0"/>
        <w:jc w:val="both"/>
        <w:rPr/>
      </w:pPr>
      <w:r>
        <w:rPr/>
        <w:t>2.</w:t>
        <w:tab/>
        <w:t>The restraints on use and confidentiality provided herein shall not apply to any Proprietary Information which:</w:t>
      </w:r>
    </w:p>
    <w:p>
      <w:pPr>
        <w:pStyle w:val="Normal"/>
        <w:tabs>
          <w:tab w:val="clear" w:pos="720"/>
          <w:tab w:val="left" w:pos="-1800" w:leader="none"/>
        </w:tabs>
        <w:spacing w:before="240" w:after="0"/>
        <w:ind w:hanging="720" w:start="1440" w:end="0"/>
        <w:jc w:val="both"/>
        <w:rPr/>
      </w:pPr>
      <w:r>
        <w:rPr/>
        <w:t>(a)</w:t>
        <w:tab/>
        <w:t>is or subsequently becomes part of the public domain through no fault of Receiving Party;</w:t>
      </w:r>
    </w:p>
    <w:p>
      <w:pPr>
        <w:pStyle w:val="Normal"/>
        <w:tabs>
          <w:tab w:val="clear" w:pos="720"/>
          <w:tab w:val="left" w:pos="-1800" w:leader="none"/>
        </w:tabs>
        <w:spacing w:before="240" w:after="0"/>
        <w:ind w:hanging="720" w:start="1440" w:end="0"/>
        <w:jc w:val="both"/>
        <w:rPr/>
      </w:pPr>
      <w:r>
        <w:rPr/>
        <w:t>(b)</w:t>
        <w:tab/>
        <w:t>is received by Receiving Party on a non-confidential basis from a third party not known by Receiving Party to be under an obligation of confidentiality to Disclosing Party:</w:t>
      </w:r>
    </w:p>
    <w:p>
      <w:pPr>
        <w:pStyle w:val="BodyTextIndent"/>
        <w:rPr/>
      </w:pPr>
      <w:r>
        <w:rPr/>
        <w:t>(c)</w:t>
        <w:tab/>
        <w:t>was known by Receiving Party at the time of disclosure by Disclosing Party and such prior knowledge can be demonstrated by Receiving Party by written or printed document; or</w:t>
      </w:r>
    </w:p>
    <w:p>
      <w:pPr>
        <w:pStyle w:val="Normal"/>
        <w:tabs>
          <w:tab w:val="clear" w:pos="720"/>
          <w:tab w:val="left" w:pos="-1800" w:leader="none"/>
        </w:tabs>
        <w:spacing w:before="240" w:after="0"/>
        <w:ind w:hanging="720" w:start="1440" w:end="0"/>
        <w:jc w:val="both"/>
        <w:rPr/>
      </w:pPr>
      <w:r>
        <w:rPr/>
        <w:t>(d)</w:t>
        <w:tab/>
        <w:t>is required or requested by law, regulation, supervisory authority or other judicial or governmental order to be disclosed by Receiving Party, provided advance written notice of such disclosure is given to Disclosing Party.  The Receiving Party may disclose, without liability to the Disclosing Party, only that portion of the Proprietary Information that it is compelled to disclose.</w:t>
      </w:r>
    </w:p>
    <w:p>
      <w:pPr>
        <w:pStyle w:val="Normal"/>
        <w:tabs>
          <w:tab w:val="clear" w:pos="720"/>
          <w:tab w:val="left" w:pos="-1800" w:leader="none"/>
        </w:tabs>
        <w:spacing w:before="240" w:after="0"/>
        <w:ind w:hanging="720" w:start="720" w:end="0"/>
        <w:jc w:val="both"/>
        <w:rPr/>
      </w:pPr>
      <w:r>
        <w:rPr/>
        <w:t>3.</w:t>
        <w:tab/>
        <w:t>No rights or obligations other than those expressly recited herein are implied by this Agreement.</w:t>
      </w:r>
    </w:p>
    <w:p>
      <w:pPr>
        <w:pStyle w:val="BodyTextIndent2"/>
        <w:rPr/>
      </w:pPr>
      <w:r>
        <w:rPr/>
        <w:t>4.</w:t>
        <w:tab/>
        <w:t>Receiving Party shall not directly or indirectly sell, lease, redistribute, transmit, retransmit, broadcast, download or otherwise provide or disseminate the Disclosing Party provided Proprietary Information or any part of it or any information or data included therein, in any form or by any means, (including without limitation by making hard copies or by electronic transfer) except as herein expressly permitted.</w:t>
      </w:r>
    </w:p>
    <w:p>
      <w:pPr>
        <w:pStyle w:val="Normal"/>
        <w:tabs>
          <w:tab w:val="clear" w:pos="720"/>
          <w:tab w:val="left" w:pos="-1800" w:leader="none"/>
        </w:tabs>
        <w:spacing w:before="240" w:after="0"/>
        <w:ind w:hanging="720" w:start="720" w:end="0"/>
        <w:jc w:val="both"/>
        <w:rPr/>
      </w:pPr>
      <w:r>
        <w:rPr/>
        <w:t>5.</w:t>
        <w:tab/>
        <w:t>Proprietary Information furnished hereunder shall remain the property of Disclosing Party and any document furnished shall be promptly returned or destroyed, together with all copies thereof, upon request of Disclosing Party.</w:t>
      </w:r>
    </w:p>
    <w:p>
      <w:pPr>
        <w:pStyle w:val="Normal"/>
        <w:tabs>
          <w:tab w:val="clear" w:pos="720"/>
          <w:tab w:val="left" w:pos="-1800" w:leader="none"/>
        </w:tabs>
        <w:spacing w:before="240" w:after="0"/>
        <w:ind w:hanging="720" w:start="720" w:end="0"/>
        <w:jc w:val="both"/>
        <w:rPr/>
      </w:pPr>
      <w:r>
        <w:rPr/>
        <w:t>6.</w:t>
        <w:tab/>
        <w:t>Neither this Agreement nor any rights hereunder shall be assignable by either party without the written consent of the other.</w:t>
      </w:r>
    </w:p>
    <w:p>
      <w:pPr>
        <w:pStyle w:val="Normal"/>
        <w:tabs>
          <w:tab w:val="clear" w:pos="720"/>
          <w:tab w:val="left" w:pos="-1800" w:leader="none"/>
        </w:tabs>
        <w:spacing w:before="240" w:after="0"/>
        <w:ind w:hanging="720" w:start="720" w:end="0"/>
        <w:jc w:val="both"/>
        <w:rPr/>
      </w:pPr>
      <w:r>
        <w:rPr/>
        <w:t>7.</w:t>
        <w:tab/>
        <w:t>This Agreement expresses the entire agreement and understanding of the parties with respect to the subject matter contained herein and supersedes all prior arrangements and understandings.</w:t>
      </w:r>
    </w:p>
    <w:p>
      <w:pPr>
        <w:pStyle w:val="BodyTextIndent2"/>
        <w:rPr/>
      </w:pPr>
      <w:r>
        <w:rPr/>
        <w:t>8.</w:t>
        <w:tab/>
        <w:t>Receiving Party agrees that a breach of this confidentiality Agreement will give rise to irreparable injury to Disclosing Party which cannot be adequately compensated for by damages and consequently Disclosing Party shall be entitled, in addition to all other remedies available to it, to injunctive and other equitable relief without the posting of a bond to prevent a breach of this Agreement and to secure the enforcement of this Agreement.</w:t>
      </w:r>
    </w:p>
    <w:p>
      <w:pPr>
        <w:pStyle w:val="Normal"/>
        <w:tabs>
          <w:tab w:val="clear" w:pos="720"/>
          <w:tab w:val="left" w:pos="-1800" w:leader="none"/>
        </w:tabs>
        <w:spacing w:before="240" w:after="0"/>
        <w:ind w:hanging="720" w:start="720" w:end="0"/>
        <w:jc w:val="both"/>
        <w:rPr/>
      </w:pPr>
      <w:r>
        <w:rPr/>
        <w:t>9.</w:t>
        <w:tab/>
        <w:t>This Agreement shall be interpreted and construed under the laws of the State of Kentucky without regard to conflicts of laws principles, and shall be binding upon and inure to the benefit of the parties hereto, their successors and permitted assigns.  All obligations under this Agreement shall terminate one (1) year from the date hereof.</w:t>
      </w:r>
    </w:p>
    <w:p>
      <w:pPr>
        <w:pStyle w:val="Normal"/>
        <w:tabs>
          <w:tab w:val="clear" w:pos="720"/>
          <w:tab w:val="left" w:pos="-1800" w:leader="none"/>
        </w:tabs>
        <w:spacing w:before="240" w:after="0"/>
        <w:jc w:val="both"/>
        <w:rPr/>
      </w:pPr>
      <w:r>
        <w:rPr/>
        <w:t>IN WITNESS WHEREOF, the parties hereto have executed this Agreement by their duly authorized representatives the day and year first above written.</w:t>
      </w:r>
    </w:p>
    <w:p>
      <w:pPr>
        <w:pStyle w:val="Normal"/>
        <w:tabs>
          <w:tab w:val="clear" w:pos="720"/>
          <w:tab w:val="left" w:pos="-1800" w:leader="none"/>
        </w:tabs>
        <w:spacing w:before="240" w:after="0"/>
        <w:ind w:hanging="720" w:start="720" w:end="0"/>
        <w:rPr/>
      </w:pPr>
      <w:r>
        <w:rPr/>
      </w:r>
    </w:p>
    <w:tbl>
      <w:tblPr>
        <w:tblW w:w="9918" w:type="dxa"/>
        <w:jc w:val="start"/>
        <w:tblInd w:w="-108" w:type="dxa"/>
        <w:tblLayout w:type="fixed"/>
        <w:tblCellMar>
          <w:top w:w="0" w:type="dxa"/>
          <w:start w:w="0" w:type="dxa"/>
          <w:bottom w:w="0" w:type="dxa"/>
          <w:end w:w="0" w:type="dxa"/>
        </w:tblCellMar>
      </w:tblPr>
      <w:tblGrid>
        <w:gridCol w:w="918"/>
        <w:gridCol w:w="3420"/>
        <w:gridCol w:w="90"/>
        <w:gridCol w:w="630"/>
        <w:gridCol w:w="900"/>
        <w:gridCol w:w="3960"/>
      </w:tblGrid>
      <w:tr>
        <w:trPr/>
        <w:tc>
          <w:tcPr>
            <w:tcW w:w="918" w:type="dxa"/>
            <w:tcBorders/>
          </w:tcPr>
          <w:p>
            <w:pPr>
              <w:pStyle w:val="TableHeading"/>
              <w:rPr/>
            </w:pPr>
            <w:r>
              <w:rPr/>
            </w:r>
          </w:p>
        </w:tc>
        <w:tc>
          <w:tcPr>
            <w:tcW w:w="3510" w:type="dxa"/>
            <w:gridSpan w:val="2"/>
            <w:tcBorders/>
            <w:tcMar>
              <w:start w:w="108" w:type="dxa"/>
              <w:end w:w="108" w:type="dxa"/>
            </w:tcMar>
          </w:tcPr>
          <w:p>
            <w:pPr>
              <w:pStyle w:val="Normal"/>
              <w:tabs>
                <w:tab w:val="clear" w:pos="720"/>
                <w:tab w:val="left" w:pos="-1800" w:leader="none"/>
              </w:tabs>
              <w:rPr/>
            </w:pPr>
            <w:r>
              <w:rPr/>
              <w:t>APB Energy, Inc.</w:t>
            </w:r>
          </w:p>
          <w:p>
            <w:pPr>
              <w:pStyle w:val="Header"/>
              <w:tabs>
                <w:tab w:val="clear" w:pos="4320"/>
                <w:tab w:val="clear" w:pos="8640"/>
                <w:tab w:val="left" w:pos="-1800" w:leader="none"/>
              </w:tabs>
              <w:rPr/>
            </w:pPr>
            <w:r>
              <w:rPr/>
              <w:t>True Quote LLC</w:t>
            </w:r>
          </w:p>
        </w:tc>
        <w:tc>
          <w:tcPr>
            <w:tcW w:w="1530" w:type="dxa"/>
            <w:gridSpan w:val="2"/>
            <w:tcBorders/>
            <w:tcMar>
              <w:start w:w="108" w:type="dxa"/>
              <w:end w:w="108" w:type="dxa"/>
            </w:tcMar>
          </w:tcPr>
          <w:p>
            <w:pPr>
              <w:pStyle w:val="Normal"/>
              <w:tabs>
                <w:tab w:val="clear" w:pos="720"/>
                <w:tab w:val="left" w:pos="-1800" w:leader="none"/>
              </w:tabs>
              <w:snapToGrid w:val="false"/>
              <w:spacing w:before="240" w:after="0"/>
              <w:rPr/>
            </w:pPr>
            <w:r>
              <w:rPr/>
            </w:r>
          </w:p>
        </w:tc>
        <w:tc>
          <w:tcPr>
            <w:tcW w:w="3960" w:type="dxa"/>
            <w:tcBorders/>
            <w:tcMar>
              <w:start w:w="108" w:type="dxa"/>
              <w:end w:w="108" w:type="dxa"/>
            </w:tcMar>
          </w:tcPr>
          <w:p>
            <w:pPr>
              <w:pStyle w:val="Header"/>
              <w:tabs>
                <w:tab w:val="clear" w:pos="4320"/>
                <w:tab w:val="clear" w:pos="8640"/>
                <w:tab w:val="left" w:pos="-1800" w:leader="none"/>
              </w:tabs>
              <w:spacing w:before="240" w:after="0"/>
              <w:rPr/>
            </w:pPr>
            <w:r>
              <w:rPr/>
              <w:t>Enron North America, Inc.</w:t>
            </w:r>
          </w:p>
        </w:tc>
      </w:tr>
      <w:tr>
        <w:trPr>
          <w:trHeight w:val="340" w:hRule="atLeast"/>
        </w:trPr>
        <w:tc>
          <w:tcPr>
            <w:tcW w:w="4428" w:type="dxa"/>
            <w:gridSpan w:val="3"/>
            <w:tcBorders/>
            <w:tcMar>
              <w:start w:w="108" w:type="dxa"/>
              <w:end w:w="108" w:type="dxa"/>
            </w:tcMar>
          </w:tcPr>
          <w:p>
            <w:pPr>
              <w:pStyle w:val="Normal"/>
              <w:tabs>
                <w:tab w:val="clear" w:pos="720"/>
                <w:tab w:val="left" w:pos="-1800" w:leader="none"/>
              </w:tabs>
              <w:snapToGrid w:val="false"/>
              <w:jc w:val="center"/>
              <w:rPr/>
            </w:pPr>
            <w:r>
              <w:rPr/>
            </w:r>
          </w:p>
        </w:tc>
        <w:tc>
          <w:tcPr>
            <w:tcW w:w="1530" w:type="dxa"/>
            <w:gridSpan w:val="2"/>
            <w:tcBorders/>
            <w:tcMar>
              <w:start w:w="108" w:type="dxa"/>
              <w:end w:w="108" w:type="dxa"/>
            </w:tcMar>
          </w:tcPr>
          <w:p>
            <w:pPr>
              <w:pStyle w:val="Normal"/>
              <w:tabs>
                <w:tab w:val="clear" w:pos="720"/>
                <w:tab w:val="left" w:pos="-1800" w:leader="none"/>
              </w:tabs>
              <w:snapToGrid w:val="false"/>
              <w:rPr/>
            </w:pPr>
            <w:r>
              <w:rPr/>
            </w:r>
          </w:p>
        </w:tc>
        <w:tc>
          <w:tcPr>
            <w:tcW w:w="3960" w:type="dxa"/>
            <w:tcBorders/>
            <w:tcMar>
              <w:start w:w="108" w:type="dxa"/>
              <w:end w:w="108" w:type="dxa"/>
            </w:tcMar>
          </w:tcPr>
          <w:p>
            <w:pPr>
              <w:pStyle w:val="Normal"/>
              <w:tabs>
                <w:tab w:val="clear" w:pos="720"/>
                <w:tab w:val="left" w:pos="-1800" w:leader="none"/>
              </w:tabs>
              <w:snapToGrid w:val="false"/>
              <w:rPr/>
            </w:pPr>
            <w:r>
              <w:rPr/>
            </w:r>
          </w:p>
        </w:tc>
      </w:tr>
      <w:tr>
        <w:trPr/>
        <w:tc>
          <w:tcPr>
            <w:tcW w:w="918" w:type="dxa"/>
            <w:tcBorders/>
            <w:tcMar>
              <w:start w:w="108" w:type="dxa"/>
              <w:end w:w="108" w:type="dxa"/>
            </w:tcMar>
          </w:tcPr>
          <w:p>
            <w:pPr>
              <w:pStyle w:val="Normal"/>
              <w:spacing w:before="240" w:after="0"/>
              <w:rPr/>
            </w:pPr>
            <w:r>
              <w:rPr/>
              <w:t>By:</w:t>
            </w:r>
          </w:p>
        </w:tc>
        <w:tc>
          <w:tcPr>
            <w:tcW w:w="3420" w:type="dxa"/>
            <w:tcBorders>
              <w:bottom w:val="single" w:sz="6" w:space="0" w:color="000000"/>
            </w:tcBorders>
            <w:tcMar>
              <w:start w:w="108" w:type="dxa"/>
              <w:end w:w="108" w:type="dxa"/>
            </w:tcMar>
          </w:tcPr>
          <w:p>
            <w:pPr>
              <w:pStyle w:val="Normal"/>
              <w:snapToGrid w:val="false"/>
              <w:spacing w:before="240" w:after="0"/>
              <w:rPr/>
            </w:pPr>
            <w:r>
              <w:rPr/>
            </w:r>
          </w:p>
        </w:tc>
        <w:tc>
          <w:tcPr>
            <w:tcW w:w="720" w:type="dxa"/>
            <w:gridSpan w:val="2"/>
            <w:tcBorders/>
            <w:tcMar>
              <w:start w:w="108" w:type="dxa"/>
              <w:end w:w="108" w:type="dxa"/>
            </w:tcMar>
          </w:tcPr>
          <w:p>
            <w:pPr>
              <w:pStyle w:val="Normal"/>
              <w:snapToGrid w:val="false"/>
              <w:spacing w:before="240" w:after="0"/>
              <w:rPr/>
            </w:pPr>
            <w:r>
              <w:rPr/>
            </w:r>
          </w:p>
        </w:tc>
        <w:tc>
          <w:tcPr>
            <w:tcW w:w="900" w:type="dxa"/>
            <w:tcBorders/>
            <w:tcMar>
              <w:start w:w="108" w:type="dxa"/>
              <w:end w:w="108" w:type="dxa"/>
            </w:tcMar>
          </w:tcPr>
          <w:p>
            <w:pPr>
              <w:pStyle w:val="Normal"/>
              <w:spacing w:before="240" w:after="0"/>
              <w:rPr/>
            </w:pPr>
            <w:r>
              <w:rPr/>
              <w:t>By:</w:t>
            </w:r>
          </w:p>
        </w:tc>
        <w:tc>
          <w:tcPr>
            <w:tcW w:w="3960" w:type="dxa"/>
            <w:tcBorders>
              <w:bottom w:val="single" w:sz="6" w:space="0" w:color="000000"/>
            </w:tcBorders>
            <w:tcMar>
              <w:start w:w="108" w:type="dxa"/>
              <w:end w:w="108" w:type="dxa"/>
            </w:tcMar>
          </w:tcPr>
          <w:p>
            <w:pPr>
              <w:pStyle w:val="Normal"/>
              <w:snapToGrid w:val="false"/>
              <w:spacing w:before="240" w:after="0"/>
              <w:rPr/>
            </w:pPr>
            <w:r>
              <w:rPr/>
            </w:r>
          </w:p>
        </w:tc>
      </w:tr>
      <w:tr>
        <w:trPr/>
        <w:tc>
          <w:tcPr>
            <w:tcW w:w="918" w:type="dxa"/>
            <w:tcBorders/>
            <w:tcMar>
              <w:start w:w="108" w:type="dxa"/>
              <w:end w:w="108" w:type="dxa"/>
            </w:tcMar>
          </w:tcPr>
          <w:p>
            <w:pPr>
              <w:pStyle w:val="Normal"/>
              <w:spacing w:before="240" w:after="0"/>
              <w:rPr/>
            </w:pPr>
            <w:r>
              <w:rPr/>
              <w:t>Name:</w:t>
            </w:r>
          </w:p>
        </w:tc>
        <w:tc>
          <w:tcPr>
            <w:tcW w:w="3420" w:type="dxa"/>
            <w:tcBorders>
              <w:bottom w:val="single" w:sz="6" w:space="0" w:color="000000"/>
            </w:tcBorders>
            <w:tcMar>
              <w:start w:w="108" w:type="dxa"/>
              <w:end w:w="108" w:type="dxa"/>
            </w:tcMar>
          </w:tcPr>
          <w:p>
            <w:pPr>
              <w:pStyle w:val="Normal"/>
              <w:spacing w:before="240" w:after="0"/>
              <w:rPr/>
            </w:pPr>
            <w:r>
              <w:rPr/>
              <w:t>Todd A. Creek</w:t>
            </w:r>
          </w:p>
        </w:tc>
        <w:tc>
          <w:tcPr>
            <w:tcW w:w="720" w:type="dxa"/>
            <w:gridSpan w:val="2"/>
            <w:tcBorders/>
            <w:tcMar>
              <w:start w:w="108" w:type="dxa"/>
              <w:end w:w="108" w:type="dxa"/>
            </w:tcMar>
          </w:tcPr>
          <w:p>
            <w:pPr>
              <w:pStyle w:val="Normal"/>
              <w:snapToGrid w:val="false"/>
              <w:spacing w:before="240" w:after="0"/>
              <w:rPr/>
            </w:pPr>
            <w:r>
              <w:rPr/>
            </w:r>
          </w:p>
        </w:tc>
        <w:tc>
          <w:tcPr>
            <w:tcW w:w="900" w:type="dxa"/>
            <w:tcBorders/>
            <w:tcMar>
              <w:start w:w="108" w:type="dxa"/>
              <w:end w:w="108" w:type="dxa"/>
            </w:tcMar>
          </w:tcPr>
          <w:p>
            <w:pPr>
              <w:pStyle w:val="Normal"/>
              <w:spacing w:before="240" w:after="0"/>
              <w:rPr/>
            </w:pPr>
            <w:r>
              <w:rPr/>
              <w:t>Name:</w:t>
            </w:r>
          </w:p>
        </w:tc>
        <w:tc>
          <w:tcPr>
            <w:tcW w:w="3960" w:type="dxa"/>
            <w:tcBorders>
              <w:bottom w:val="single" w:sz="6" w:space="0" w:color="000000"/>
            </w:tcBorders>
            <w:tcMar>
              <w:start w:w="108" w:type="dxa"/>
              <w:end w:w="108" w:type="dxa"/>
            </w:tcMar>
          </w:tcPr>
          <w:p>
            <w:pPr>
              <w:pStyle w:val="Normal"/>
              <w:spacing w:before="240" w:after="0"/>
              <w:rPr/>
            </w:pPr>
            <w:r>
              <w:rPr/>
              <w:t>Greg Whalley</w:t>
            </w:r>
          </w:p>
        </w:tc>
      </w:tr>
      <w:tr>
        <w:trPr/>
        <w:tc>
          <w:tcPr>
            <w:tcW w:w="918" w:type="dxa"/>
            <w:tcBorders/>
            <w:tcMar>
              <w:start w:w="108" w:type="dxa"/>
              <w:end w:w="108" w:type="dxa"/>
            </w:tcMar>
          </w:tcPr>
          <w:p>
            <w:pPr>
              <w:pStyle w:val="Normal"/>
              <w:spacing w:before="240" w:after="0"/>
              <w:rPr/>
            </w:pPr>
            <w:r>
              <w:rPr/>
              <w:t>Title:</w:t>
            </w:r>
          </w:p>
        </w:tc>
        <w:tc>
          <w:tcPr>
            <w:tcW w:w="3420" w:type="dxa"/>
            <w:tcBorders/>
            <w:tcMar>
              <w:start w:w="108" w:type="dxa"/>
              <w:end w:w="108" w:type="dxa"/>
            </w:tcMar>
          </w:tcPr>
          <w:p>
            <w:pPr>
              <w:pStyle w:val="Normal"/>
              <w:spacing w:before="240" w:after="0"/>
              <w:rPr/>
            </w:pPr>
            <w:r>
              <w:rPr/>
              <w:t>Chief Financial Officer</w:t>
            </w:r>
          </w:p>
        </w:tc>
        <w:tc>
          <w:tcPr>
            <w:tcW w:w="720" w:type="dxa"/>
            <w:gridSpan w:val="2"/>
            <w:tcBorders/>
            <w:tcMar>
              <w:start w:w="108" w:type="dxa"/>
              <w:end w:w="108" w:type="dxa"/>
            </w:tcMar>
          </w:tcPr>
          <w:p>
            <w:pPr>
              <w:pStyle w:val="Normal"/>
              <w:snapToGrid w:val="false"/>
              <w:spacing w:before="240" w:after="0"/>
              <w:rPr/>
            </w:pPr>
            <w:r>
              <w:rPr/>
            </w:r>
          </w:p>
        </w:tc>
        <w:tc>
          <w:tcPr>
            <w:tcW w:w="900" w:type="dxa"/>
            <w:tcBorders/>
            <w:tcMar>
              <w:start w:w="108" w:type="dxa"/>
              <w:end w:w="108" w:type="dxa"/>
            </w:tcMar>
          </w:tcPr>
          <w:p>
            <w:pPr>
              <w:pStyle w:val="Normal"/>
              <w:spacing w:before="240" w:after="0"/>
              <w:rPr/>
            </w:pPr>
            <w:r>
              <w:rPr/>
              <w:t>Title:</w:t>
            </w:r>
          </w:p>
        </w:tc>
        <w:tc>
          <w:tcPr>
            <w:tcW w:w="3960" w:type="dxa"/>
            <w:tcBorders/>
            <w:tcMar>
              <w:start w:w="108" w:type="dxa"/>
              <w:end w:w="108" w:type="dxa"/>
            </w:tcMar>
            <w:vAlign w:val="bottom"/>
          </w:tcPr>
          <w:p>
            <w:pPr>
              <w:pStyle w:val="Normal"/>
              <w:rPr/>
            </w:pPr>
            <w:r>
              <w:rPr/>
              <w:t>President and Chief Operation Officer</w:t>
            </w:r>
          </w:p>
        </w:tc>
      </w:tr>
      <w:tr>
        <w:trPr/>
        <w:tc>
          <w:tcPr>
            <w:tcW w:w="918" w:type="dxa"/>
            <w:tcBorders/>
            <w:tcMar>
              <w:start w:w="108" w:type="dxa"/>
              <w:end w:w="108" w:type="dxa"/>
            </w:tcMar>
          </w:tcPr>
          <w:p>
            <w:pPr>
              <w:pStyle w:val="Normal"/>
              <w:spacing w:before="240" w:after="0"/>
              <w:rPr/>
            </w:pPr>
            <w:r>
              <w:rPr/>
              <w:t>Date:</w:t>
            </w:r>
          </w:p>
        </w:tc>
        <w:tc>
          <w:tcPr>
            <w:tcW w:w="3420" w:type="dxa"/>
            <w:tcBorders>
              <w:top w:val="single" w:sz="6" w:space="0" w:color="000000"/>
              <w:bottom w:val="single" w:sz="6" w:space="0" w:color="000000"/>
            </w:tcBorders>
            <w:tcMar>
              <w:start w:w="108" w:type="dxa"/>
              <w:end w:w="108" w:type="dxa"/>
            </w:tcMar>
          </w:tcPr>
          <w:p>
            <w:pPr>
              <w:pStyle w:val="Normal"/>
              <w:snapToGrid w:val="false"/>
              <w:spacing w:before="240" w:after="0"/>
              <w:rPr/>
            </w:pPr>
            <w:r>
              <w:rPr/>
            </w:r>
          </w:p>
        </w:tc>
        <w:tc>
          <w:tcPr>
            <w:tcW w:w="720" w:type="dxa"/>
            <w:gridSpan w:val="2"/>
            <w:tcBorders/>
            <w:tcMar>
              <w:start w:w="108" w:type="dxa"/>
              <w:end w:w="108" w:type="dxa"/>
            </w:tcMar>
          </w:tcPr>
          <w:p>
            <w:pPr>
              <w:pStyle w:val="Normal"/>
              <w:snapToGrid w:val="false"/>
              <w:spacing w:before="240" w:after="0"/>
              <w:rPr/>
            </w:pPr>
            <w:r>
              <w:rPr/>
            </w:r>
          </w:p>
        </w:tc>
        <w:tc>
          <w:tcPr>
            <w:tcW w:w="900" w:type="dxa"/>
            <w:tcBorders/>
            <w:tcMar>
              <w:start w:w="108" w:type="dxa"/>
              <w:end w:w="108" w:type="dxa"/>
            </w:tcMar>
          </w:tcPr>
          <w:p>
            <w:pPr>
              <w:pStyle w:val="Normal"/>
              <w:spacing w:before="240" w:after="0"/>
              <w:rPr/>
            </w:pPr>
            <w:r>
              <w:rPr/>
              <w:t>Date:</w:t>
            </w:r>
          </w:p>
        </w:tc>
        <w:tc>
          <w:tcPr>
            <w:tcW w:w="3960" w:type="dxa"/>
            <w:tcBorders>
              <w:top w:val="single" w:sz="6" w:space="0" w:color="000000"/>
              <w:bottom w:val="single" w:sz="6" w:space="0" w:color="000000"/>
            </w:tcBorders>
            <w:tcMar>
              <w:start w:w="108" w:type="dxa"/>
              <w:end w:w="108" w:type="dxa"/>
            </w:tcMar>
          </w:tcPr>
          <w:p>
            <w:pPr>
              <w:pStyle w:val="Normal"/>
              <w:snapToGrid w:val="false"/>
              <w:spacing w:before="240" w:after="0"/>
              <w:rPr/>
            </w:pPr>
            <w:r>
              <w:rPr/>
            </w:r>
          </w:p>
        </w:tc>
      </w:tr>
    </w:tbl>
    <w:p>
      <w:pPr>
        <w:pStyle w:val="Normal"/>
        <w:tabs>
          <w:tab w:val="clear" w:pos="720"/>
          <w:tab w:val="left" w:pos="-1800" w:leader="none"/>
        </w:tabs>
        <w:spacing w:before="240" w:after="0"/>
        <w:ind w:hanging="720" w:start="720" w:end="0"/>
        <w:rPr/>
      </w:pPr>
      <w:r>
        <w:rPr/>
      </w:r>
    </w:p>
    <w:p>
      <w:pPr>
        <w:pStyle w:val="Normal"/>
        <w:tabs>
          <w:tab w:val="clear" w:pos="720"/>
          <w:tab w:val="left" w:pos="-1800" w:leader="none"/>
        </w:tabs>
        <w:spacing w:before="240" w:after="0"/>
        <w:ind w:hanging="720" w:start="720" w:end="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NDA_Enron_April2000__.doc</w:t>
    </w:r>
    <w:r>
      <w:rPr>
        <w:sz w:val="16"/>
      </w:rPr>
      <w:fldChar w:fldCharType="end"/>
    </w:r>
    <w:r>
      <w:rPr>
        <w:sz w:val="16"/>
      </w:rPr>
      <w:t xml:space="preserve">  </w:t>
    </w:r>
    <w:r>
      <w:rPr>
        <w:sz w:val="16"/>
      </w:rPr>
      <w:t xml:space="preserve">Page </w:t>
    </w:r>
    <w:r>
      <w:rPr>
        <w:sz w:val="16"/>
      </w:rPr>
      <w:fldChar w:fldCharType="begin"/>
    </w:r>
    <w:r>
      <w:rPr>
        <w:sz w:val="16"/>
      </w:rPr>
      <w:instrText xml:space="preserve"> PAGE \* ARABIC </w:instrText>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3</w:t>
    </w:r>
    <w:r>
      <w:rPr>
        <w:sz w:val="16"/>
      </w:rPr>
      <w:fldChar w:fldCharType="end"/>
    </w:r>
    <w:r>
      <w:rPr>
        <w:sz w:val="16"/>
      </w:rPr>
      <w:t xml:space="preserve">, </w:t>
    </w:r>
    <w:r>
      <w:rPr>
        <w:sz w:val="16"/>
      </w:rPr>
      <w:fldChar w:fldCharType="begin"/>
    </w:r>
    <w:r>
      <w:rPr>
        <w:sz w:val="16"/>
      </w:rPr>
      <w:instrText xml:space="preserve"> DATE \@"d\-MMM\-yy" </w:instrText>
    </w:r>
    <w:r>
      <w:rPr>
        <w:sz w:val="16"/>
      </w:rPr>
      <w:fldChar w:fldCharType="separate"/>
    </w:r>
    <w:r>
      <w:rPr>
        <w:sz w:val="16"/>
      </w:rPr>
      <w:t>28-Sep-25</w:t>
    </w:r>
    <w:r>
      <w:rPr>
        <w:sz w:val="16"/>
      </w:rPr>
      <w:fldChar w:fldCharType="end"/>
    </w:r>
    <w:r>
      <w:rPr>
        <w:sz w:val="16"/>
      </w:rPr>
      <w:t xml:space="preserve"> </w:t>
      <w:tab/>
      <w:t>Initials: ________, ________</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before="240" w:after="0"/>
      <w:jc w:val="center"/>
    </w:pPr>
    <w:rPr>
      <w:b/>
      <w:sz w:val="28"/>
      <w:u w:val="doub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00" w:leader="none"/>
      </w:tabs>
      <w:spacing w:before="240" w:after="0"/>
      <w:ind w:hanging="720" w:start="1440" w:end="0"/>
      <w:jc w:val="both"/>
    </w:pPr>
    <w:rPr/>
  </w:style>
  <w:style w:type="paragraph" w:styleId="BodyTextIndent2">
    <w:name w:val="Body Text Indent 2"/>
    <w:basedOn w:val="Normal"/>
    <w:qFormat/>
    <w:pPr>
      <w:tabs>
        <w:tab w:val="clear" w:pos="720"/>
        <w:tab w:val="left" w:pos="-1800" w:leader="none"/>
      </w:tabs>
      <w:spacing w:before="240" w:after="0"/>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2000-04-04T12:24:00Z</dcterms:created>
  <dc:creator>Todd A. Creek</dc:creator>
  <dc:description/>
  <dc:language>en-CA</dc:language>
  <cp:lastModifiedBy>Todd Creek</cp:lastModifiedBy>
  <cp:lastPrinted>2000-01-11T17:02:00Z</cp:lastPrinted>
  <dcterms:modified xsi:type="dcterms:W3CDTF">2000-04-04T12:24:00Z</dcterms:modified>
  <cp:revision>2</cp:revision>
  <dc:subject/>
  <dc:title>CONFIDENTIALITY AND NON-DISCLOSURE AGREEMENT</dc:title>
</cp:coreProperties>
</file>