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RISK ANALYSIS</w:t>
      </w:r>
    </w:p>
    <w:p>
      <w:pPr>
        <w:pStyle w:val="Normal"/>
        <w:jc w:val="center"/>
        <w:rPr>
          <w:b/>
        </w:rPr>
      </w:pPr>
      <w:r>
        <w:rPr>
          <w:b/>
        </w:rPr>
        <w:t xml:space="preserve">OF </w:t>
      </w:r>
    </w:p>
    <w:p>
      <w:pPr>
        <w:pStyle w:val="Normal"/>
        <w:jc w:val="center"/>
        <w:rPr>
          <w:b/>
        </w:rPr>
      </w:pPr>
      <w:r>
        <w:rPr>
          <w:b/>
        </w:rPr>
        <w:t>ElectriCities Deal</w:t>
      </w:r>
    </w:p>
    <w:p>
      <w:pPr>
        <w:pStyle w:val="Normal"/>
        <w:rPr>
          <w:b/>
        </w:rPr>
      </w:pPr>
      <w:r>
        <w:rPr>
          <w:b/>
        </w:rPr>
      </w:r>
    </w:p>
    <w:p>
      <w:pPr>
        <w:pStyle w:val="Normal"/>
        <w:rPr>
          <w:b/>
        </w:rPr>
      </w:pPr>
      <w:r>
        <w:rPr>
          <w:b/>
        </w:rPr>
        <w:t>Basic deal outline:</w:t>
      </w:r>
    </w:p>
    <w:p>
      <w:pPr>
        <w:pStyle w:val="Normal"/>
        <w:numPr>
          <w:ilvl w:val="0"/>
          <w:numId w:val="3"/>
        </w:numPr>
        <w:rPr/>
      </w:pPr>
      <w:r>
        <w:rPr/>
        <w:t>ENA seeks to establish some type of commercial arrangement with the ElectriCities, a group of 51 municipal electric utilities in North Carolina.</w:t>
      </w:r>
    </w:p>
    <w:p>
      <w:pPr>
        <w:pStyle w:val="Normal"/>
        <w:numPr>
          <w:ilvl w:val="0"/>
          <w:numId w:val="3"/>
        </w:numPr>
        <w:rPr/>
      </w:pPr>
      <w:r>
        <w:rPr/>
        <w:t>At various times, the deal has consisted of an asset management agreement, a gas sales arrangement, Enron’s proposed construction of a merchant plant with a power sales agreement with the ElectriCities, and Enron’s proposed turnkey construction of a plant (or 2) for the ElectriCities.</w:t>
      </w:r>
    </w:p>
    <w:p>
      <w:pPr>
        <w:pStyle w:val="Normal"/>
        <w:rPr/>
      </w:pPr>
      <w:r>
        <w:rPr/>
      </w:r>
    </w:p>
    <w:p>
      <w:pPr>
        <w:pStyle w:val="Normal"/>
        <w:rPr>
          <w:b/>
        </w:rPr>
      </w:pPr>
      <w:r>
        <w:rPr>
          <w:b/>
        </w:rPr>
        <w:t>Political landscape:</w:t>
      </w:r>
    </w:p>
    <w:p>
      <w:pPr>
        <w:pStyle w:val="Normal"/>
        <w:numPr>
          <w:ilvl w:val="0"/>
          <w:numId w:val="5"/>
        </w:numPr>
        <w:rPr>
          <w:b/>
        </w:rPr>
      </w:pPr>
      <w:r>
        <w:rPr/>
        <w:t>North Carolina has not begun serious consideration of retail competition in the state, but its discussions have led to a debate over treatment of the ElectriCities in a restructured world.</w:t>
      </w:r>
    </w:p>
    <w:p>
      <w:pPr>
        <w:pStyle w:val="Normal"/>
        <w:numPr>
          <w:ilvl w:val="0"/>
          <w:numId w:val="5"/>
        </w:numPr>
        <w:rPr>
          <w:b/>
        </w:rPr>
      </w:pPr>
      <w:r>
        <w:rPr/>
        <w:t>The ElectriCities has $5.8 billion in debt and the highest rates in the state.  Restucturing could force the municipalities to deal with their debt.</w:t>
      </w:r>
    </w:p>
    <w:p>
      <w:pPr>
        <w:pStyle w:val="Normal"/>
        <w:numPr>
          <w:ilvl w:val="0"/>
          <w:numId w:val="5"/>
        </w:numPr>
        <w:rPr>
          <w:b/>
        </w:rPr>
      </w:pPr>
      <w:r>
        <w:rPr/>
        <w:t>Based on recent discussions, it is hard to imagine that any legislation would leave the ElectriCities’ current structure untouched.</w:t>
      </w:r>
    </w:p>
    <w:p>
      <w:pPr>
        <w:pStyle w:val="Normal"/>
        <w:rPr>
          <w:b/>
        </w:rPr>
      </w:pPr>
      <w:r>
        <w:rPr>
          <w:b/>
        </w:rPr>
      </w:r>
    </w:p>
    <w:p>
      <w:pPr>
        <w:pStyle w:val="Normal"/>
        <w:rPr>
          <w:b/>
        </w:rPr>
      </w:pPr>
      <w:r>
        <w:rPr>
          <w:b/>
        </w:rPr>
        <w:t>Identification of Risk:</w:t>
      </w:r>
    </w:p>
    <w:p>
      <w:pPr>
        <w:pStyle w:val="Normal"/>
        <w:numPr>
          <w:ilvl w:val="0"/>
          <w:numId w:val="1"/>
        </w:numPr>
        <w:rPr/>
      </w:pPr>
      <w:r>
        <w:rPr/>
        <w:t>In all probability, the NC legislature will not act in 2000 to pass any restructuring legislation.  If there is legislative action in 2000, it will most probably address the issue of the ElectriCities debt.  Based on discussions held to this point, such legislation could change the premises upon which Enron’s deal is based.  Possible actions range from freezing the ElectriCities rates to selling the ElectriCities outright to leaving them only with a wires business.  The ultimate disposition will undoubtedly be something different.</w:t>
      </w:r>
    </w:p>
    <w:p>
      <w:pPr>
        <w:pStyle w:val="Normal"/>
        <w:numPr>
          <w:ilvl w:val="0"/>
          <w:numId w:val="1"/>
        </w:numPr>
        <w:rPr/>
      </w:pPr>
      <w:r>
        <w:rPr/>
        <w:t>Enron will have to obtain a CCN to build in the newest configuration of the deal.  While not a deal killer, obtaining the certificate is not a slam dunk.</w:t>
      </w:r>
    </w:p>
    <w:p>
      <w:pPr>
        <w:pStyle w:val="Normal"/>
        <w:numPr>
          <w:ilvl w:val="0"/>
          <w:numId w:val="1"/>
        </w:numPr>
        <w:rPr/>
      </w:pPr>
      <w:r>
        <w:rPr/>
        <w:t>Order No. 2000 and the CP&amp;L merger may result in an RTO that could affect Enron’s proposed merchant activities.</w:t>
      </w:r>
    </w:p>
    <w:p>
      <w:pPr>
        <w:pStyle w:val="Normal"/>
        <w:numPr>
          <w:ilvl w:val="0"/>
          <w:numId w:val="1"/>
        </w:numPr>
        <w:rPr/>
      </w:pPr>
      <w:r>
        <w:rPr/>
        <w:t>The CP&amp;L merger could impose certain changes in business practices which might affect the operations by the ElectriCities.</w:t>
      </w:r>
    </w:p>
    <w:p>
      <w:pPr>
        <w:pStyle w:val="Normal"/>
        <w:rPr/>
      </w:pPr>
      <w:r>
        <w:rPr/>
      </w:r>
    </w:p>
    <w:p>
      <w:pPr>
        <w:pStyle w:val="Normal"/>
        <w:rPr>
          <w:b/>
        </w:rPr>
      </w:pPr>
      <w:r>
        <w:rPr>
          <w:b/>
        </w:rPr>
        <w:t>Challenges for Government Affairs:</w:t>
      </w:r>
    </w:p>
    <w:p>
      <w:pPr>
        <w:pStyle w:val="Normal"/>
        <w:numPr>
          <w:ilvl w:val="0"/>
          <w:numId w:val="2"/>
        </w:numPr>
        <w:tabs>
          <w:tab w:val="clear" w:pos="720"/>
          <w:tab w:val="left" w:pos="420" w:leader="none"/>
        </w:tabs>
        <w:ind w:hanging="360" w:start="420" w:end="0"/>
        <w:rPr/>
      </w:pPr>
      <w:r>
        <w:rPr/>
        <w:t>Try to keep ENA apprised of the various permutations being discussed by the Legislature.  This challenge is exacerbated by the changing shape of the deal.</w:t>
      </w:r>
    </w:p>
    <w:p>
      <w:pPr>
        <w:pStyle w:val="Normal"/>
        <w:numPr>
          <w:ilvl w:val="0"/>
          <w:numId w:val="2"/>
        </w:numPr>
        <w:tabs>
          <w:tab w:val="clear" w:pos="720"/>
          <w:tab w:val="left" w:pos="420" w:leader="none"/>
        </w:tabs>
        <w:ind w:hanging="360" w:start="420" w:end="0"/>
        <w:rPr/>
      </w:pPr>
      <w:r>
        <w:rPr/>
        <w:t>Try to ensure that any legislation passed does not adversely affect the deal that is done. (This is difficult to achieve since the deal continues to morph and the Legislature will  not convene until May 8.)</w:t>
      </w:r>
    </w:p>
    <w:p>
      <w:pPr>
        <w:pStyle w:val="Normal"/>
        <w:numPr>
          <w:ilvl w:val="0"/>
          <w:numId w:val="2"/>
        </w:numPr>
        <w:tabs>
          <w:tab w:val="clear" w:pos="720"/>
          <w:tab w:val="left" w:pos="420" w:leader="none"/>
        </w:tabs>
        <w:ind w:hanging="360" w:start="420" w:end="0"/>
        <w:rPr/>
      </w:pPr>
      <w:r>
        <w:rPr/>
        <w:t>Try to anticipate the myriad of regulatory proceedings which might arise which could affect the deal.</w:t>
      </w:r>
    </w:p>
    <w:p>
      <w:pPr>
        <w:pStyle w:val="Normal"/>
        <w:rPr/>
      </w:pPr>
      <w:r>
        <w:rPr/>
      </w:r>
      <w:r>
        <w:br w:type="page"/>
      </w:r>
    </w:p>
    <w:p>
      <w:pPr>
        <w:pStyle w:val="Normal"/>
        <w:rPr>
          <w:b/>
        </w:rPr>
      </w:pPr>
      <w:r>
        <w:rPr>
          <w:b/>
        </w:rPr>
        <w:t>Risk Mitigation Activities:</w:t>
      </w:r>
    </w:p>
    <w:p>
      <w:pPr>
        <w:pStyle w:val="Normal"/>
        <w:numPr>
          <w:ilvl w:val="0"/>
          <w:numId w:val="4"/>
        </w:numPr>
        <w:rPr/>
      </w:pPr>
      <w:r>
        <w:rPr/>
        <w:t>North Carolina has a significant electric load that will be important to Enron when retail competition is adopted.  As a result, we had identified and hired a lobby firm in the state.  One member of the firm is a former PSC commissioner who helps us stay on top of regulatory issues.  Others help us with legislative matters.</w:t>
      </w:r>
    </w:p>
    <w:p>
      <w:pPr>
        <w:pStyle w:val="Normal"/>
        <w:numPr>
          <w:ilvl w:val="0"/>
          <w:numId w:val="4"/>
        </w:numPr>
        <w:rPr/>
      </w:pPr>
      <w:r>
        <w:rPr/>
        <w:t>We have been attending Electric Study Commission meetings to try to stay on top of the issues being discussed.</w:t>
      </w:r>
    </w:p>
    <w:p>
      <w:pPr>
        <w:pStyle w:val="Normal"/>
        <w:numPr>
          <w:ilvl w:val="0"/>
          <w:numId w:val="4"/>
        </w:numPr>
        <w:rPr/>
      </w:pPr>
      <w:r>
        <w:rPr/>
        <w:t>We are scheduling meetings with key legislators and regulators to feel them out on these issues and to try to move the debate in a positive direction.</w:t>
      </w:r>
    </w:p>
    <w:p>
      <w:pPr>
        <w:pStyle w:val="Normal"/>
        <w:numPr>
          <w:ilvl w:val="0"/>
          <w:numId w:val="4"/>
        </w:numPr>
        <w:rPr/>
      </w:pPr>
      <w:r>
        <w:rPr/>
        <w:t>We will take a look at the CP&amp;L merger application to try to determine whether our intervention can in any way affect the outcome in a fashion that will not adversely affect the ENA deal.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2000-01-31T19:50:00Z</dcterms:created>
  <dc:creator>Kathleen E. Magruder</dc:creator>
  <dc:description/>
  <dc:language>en-CA</dc:language>
  <cp:lastModifiedBy>Kathleen E. Magruder</cp:lastModifiedBy>
  <cp:lastPrinted>2000-02-01T08:11:00Z</cp:lastPrinted>
  <dcterms:modified xsi:type="dcterms:W3CDTF">2000-02-01T11:43:00Z</dcterms:modified>
  <cp:revision>3</cp:revision>
  <dc:subject/>
  <dc:title>RISK ANALYSIS</dc:title>
</cp:coreProperties>
</file>