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bookmarkStart w:id="0" w:name="currPos"/>
      <w:bookmarkEnd w:id="0"/>
      <w:r>
        <w:rPr>
          <w:b/>
        </w:rPr>
        <w:t>NCU SUPPLEMENT TO THE</w:t>
      </w:r>
    </w:p>
    <w:p>
      <w:pPr>
        <w:pStyle w:val="Normal"/>
        <w:jc w:val="center"/>
        <w:rPr>
          <w:b/>
        </w:rPr>
      </w:pPr>
      <w:r>
        <w:rPr>
          <w:b/>
        </w:rPr>
        <w:t>2000 ISDA DEFINITIONS</w:t>
      </w:r>
    </w:p>
    <w:p>
      <w:pPr>
        <w:pStyle w:val="Normal"/>
        <w:rPr>
          <w:b/>
        </w:rPr>
      </w:pPr>
      <w:r>
        <w:rPr>
          <w:b/>
        </w:rPr>
      </w:r>
    </w:p>
    <w:p>
      <w:pPr>
        <w:pStyle w:val="Normal"/>
        <w:tabs>
          <w:tab w:val="left" w:pos="720" w:leader="none"/>
          <w:tab w:val="left" w:pos="2250" w:leader="none"/>
          <w:tab w:val="right" w:pos="7920" w:leader="dot"/>
          <w:tab w:val="center" w:pos="9000" w:leader="none"/>
        </w:tabs>
        <w:rPr>
          <w:b/>
        </w:rPr>
      </w:pPr>
      <w:r>
        <w:rPr/>
        <w:t>The following definitions and provisions, where incorporated into a document, supplement the 2000 ISDA Definitions published by the International Swaps and Derivatives Association, Inc. (the "Definitions").  The definitions and provisions in the Supplement will be deemed to be incorporated into a document that incorporates the Definitions to the extent necessary to give effect to a word or phrase used in that document.  The Supplement may also be incorporated into a document by wording in the document indicating that, or the extent to which, the document is subject to the 2000 ISDA Definitions (as supplemented by the NCU Supplement to the 2000 ISDA Definitions). Given the anticipated changes in the Supplement, parties to a transaction may want to specify the version of the Supplement that is being incorporated by reference to a date or an "as amended through" date.  Unless otherwise agreed, the parties will be deemed to have incorporated the Supplement as amended through the date on which the parties enter into the relevant transaction.  All definitions and provisions so incorporated in a document will be applicable to that document unless otherwise provided in that document, and all terms defined in this Supplement and used in any definition or provision that is incorporated by reference in a document will have the respective meanings set forth in this Supplement unless otherwise provided in that document.  Any term used in a document will, when combined with the name of a party, have meaning in respect of the named party only.</w:t>
      </w:r>
    </w:p>
    <w:p>
      <w:pPr>
        <w:pStyle w:val="Normal"/>
        <w:ind w:firstLine="720" w:end="0"/>
        <w:rPr>
          <w:b/>
        </w:rPr>
      </w:pPr>
      <w:r>
        <w:rPr>
          <w:b/>
        </w:rPr>
      </w:r>
    </w:p>
    <w:p>
      <w:pPr>
        <w:pStyle w:val="Normal"/>
        <w:tabs>
          <w:tab w:val="left" w:pos="720" w:leader="none"/>
          <w:tab w:val="left" w:pos="2250" w:leader="none"/>
          <w:tab w:val="right" w:pos="7920" w:leader="dot"/>
          <w:tab w:val="center" w:pos="9000" w:leader="none"/>
        </w:tabs>
        <w:jc w:val="center"/>
        <w:rPr>
          <w:b/>
        </w:rPr>
      </w:pPr>
      <w:r>
        <w:rPr>
          <w:b/>
        </w:rPr>
        <w:t>ARTICLE 1</w:t>
      </w:r>
    </w:p>
    <w:p>
      <w:pPr>
        <w:pStyle w:val="Normal"/>
        <w:tabs>
          <w:tab w:val="left" w:pos="720" w:leader="none"/>
          <w:tab w:val="left" w:pos="2250" w:leader="none"/>
          <w:tab w:val="right" w:pos="7920" w:leader="dot"/>
          <w:tab w:val="center" w:pos="9000" w:leader="none"/>
        </w:tabs>
        <w:jc w:val="center"/>
        <w:rPr>
          <w:b/>
        </w:rPr>
      </w:pPr>
      <w:r>
        <w:rPr>
          <w:b/>
        </w:rPr>
      </w:r>
    </w:p>
    <w:p>
      <w:pPr>
        <w:pStyle w:val="Normal"/>
        <w:tabs>
          <w:tab w:val="left" w:pos="720" w:leader="none"/>
          <w:tab w:val="left" w:pos="2250" w:leader="none"/>
          <w:tab w:val="right" w:pos="7920" w:leader="dot"/>
          <w:tab w:val="center" w:pos="9000" w:leader="none"/>
        </w:tabs>
        <w:jc w:val="center"/>
        <w:rPr>
          <w:b/>
        </w:rPr>
      </w:pPr>
      <w:r>
        <w:rPr>
          <w:b/>
        </w:rPr>
        <w:t>CERTAIN GENERAL DEFINITIONS</w:t>
      </w:r>
    </w:p>
    <w:p>
      <w:pPr>
        <w:pStyle w:val="Normal"/>
        <w:tabs>
          <w:tab w:val="left" w:pos="720" w:leader="none"/>
          <w:tab w:val="left" w:pos="2250" w:leader="none"/>
          <w:tab w:val="right" w:pos="7920" w:leader="dot"/>
          <w:tab w:val="center" w:pos="9000" w:leader="none"/>
        </w:tabs>
        <w:rPr>
          <w:b/>
        </w:rPr>
      </w:pPr>
      <w:r>
        <w:rPr>
          <w:b/>
        </w:rPr>
      </w:r>
    </w:p>
    <w:p>
      <w:pPr>
        <w:pStyle w:val="Normal"/>
        <w:ind w:firstLine="720" w:end="0"/>
        <w:rPr/>
      </w:pPr>
      <w:r>
        <w:rPr>
          <w:b/>
        </w:rPr>
        <w:t xml:space="preserve">Section 1.1. National Currency Unit.  </w:t>
      </w:r>
      <w:r>
        <w:rPr/>
        <w:t>"National Currency Unit" means any of the units of the former currencies of member states of the European Union that have adopted the euro in accordance with the EC Treaty.</w:t>
      </w:r>
    </w:p>
    <w:p>
      <w:pPr>
        <w:pStyle w:val="Normal"/>
        <w:ind w:firstLine="720" w:end="0"/>
        <w:rPr/>
      </w:pPr>
      <w:r>
        <w:rPr/>
      </w:r>
    </w:p>
    <w:p>
      <w:pPr>
        <w:pStyle w:val="Normal"/>
        <w:ind w:firstLine="720" w:end="0"/>
        <w:rPr/>
      </w:pPr>
      <w:r>
        <w:rPr>
          <w:b/>
        </w:rPr>
        <w:t xml:space="preserve">Section 1.2. Business Day.  </w:t>
      </w:r>
      <w:r>
        <w:fldChar w:fldCharType="begin"/>
      </w:r>
      <w:r>
        <w:rPr/>
        <w:instrText xml:space="preserve"> TC "Section 1.4. Business Day." \l 1 </w:instrText>
      </w:r>
      <w:r>
        <w:rPr/>
        <w:fldChar w:fldCharType="separate"/>
      </w:r>
      <w:r>
        <w:rPr/>
      </w:r>
      <w:r>
        <w:rPr/>
        <w:fldChar w:fldCharType="end"/>
      </w:r>
      <w:r>
        <w:rPr/>
        <w:t>"Business Day" means, in respect of any date that is specified in the Definitions or in a Confirmation to be subject to adjustment in accordance with any applicable Business Day Convention, a day on which commercial banks and foreign exchange markets settle payments in the place(s) and on the days specified for that purpose in the relevant Confirmation and, if place(s) and days are not so specified, a day on which commercial banks and foreign exchange markets settle payments in the same National Currency Unit as the payment obligation that is payable on or calculated by reference to that date in the financial center indicated for each of the following National Currency Units:</w:t>
      </w:r>
    </w:p>
    <w:p>
      <w:pPr>
        <w:pStyle w:val="Normal"/>
        <w:ind w:start="720" w:end="0"/>
        <w:rPr/>
      </w:pPr>
      <w:r>
        <w:rPr/>
      </w:r>
    </w:p>
    <w:tbl>
      <w:tblPr>
        <w:tblW w:w="4820" w:type="dxa"/>
        <w:jc w:val="start"/>
        <w:tblInd w:w="2943" w:type="dxa"/>
        <w:tblLayout w:type="fixed"/>
        <w:tblCellMar>
          <w:top w:w="0" w:type="dxa"/>
          <w:start w:w="108" w:type="dxa"/>
          <w:bottom w:w="0" w:type="dxa"/>
          <w:end w:w="108" w:type="dxa"/>
        </w:tblCellMar>
      </w:tblPr>
      <w:tblGrid>
        <w:gridCol w:w="2410"/>
        <w:gridCol w:w="2410"/>
      </w:tblGrid>
      <w:tr>
        <w:trPr/>
        <w:tc>
          <w:tcPr>
            <w:tcW w:w="2410" w:type="dxa"/>
            <w:tcBorders/>
          </w:tcPr>
          <w:p>
            <w:pPr>
              <w:pStyle w:val="Normal"/>
              <w:jc w:val="start"/>
              <w:rPr>
                <w:b/>
                <w:u w:val="single"/>
              </w:rPr>
            </w:pPr>
            <w:r>
              <w:rPr>
                <w:b/>
                <w:u w:val="single"/>
              </w:rPr>
              <w:t>National Currency Unit</w:t>
            </w:r>
          </w:p>
          <w:p>
            <w:pPr>
              <w:pStyle w:val="Normal"/>
              <w:ind w:hanging="720" w:start="720" w:end="0"/>
              <w:rPr>
                <w:b/>
                <w:u w:val="single"/>
              </w:rPr>
            </w:pPr>
            <w:r>
              <w:rPr>
                <w:b/>
                <w:u w:val="single"/>
              </w:rPr>
            </w:r>
          </w:p>
        </w:tc>
        <w:tc>
          <w:tcPr>
            <w:tcW w:w="2410" w:type="dxa"/>
            <w:tcBorders/>
          </w:tcPr>
          <w:p>
            <w:pPr>
              <w:pStyle w:val="Normal"/>
              <w:jc w:val="end"/>
              <w:rPr>
                <w:b/>
                <w:u w:val="single"/>
              </w:rPr>
            </w:pPr>
            <w:r>
              <w:rPr>
                <w:b/>
              </w:rPr>
              <w:t>Financial</w:t>
            </w:r>
          </w:p>
          <w:p>
            <w:pPr>
              <w:pStyle w:val="Normal"/>
              <w:jc w:val="end"/>
              <w:rPr>
                <w:b/>
                <w:u w:val="single"/>
              </w:rPr>
            </w:pPr>
            <w:r>
              <w:rPr>
                <w:b/>
                <w:u w:val="single"/>
              </w:rPr>
              <w:t>Center(s)</w:t>
            </w:r>
          </w:p>
          <w:p>
            <w:pPr>
              <w:pStyle w:val="Normal"/>
              <w:jc w:val="end"/>
              <w:rPr>
                <w:b/>
                <w:u w:val="single"/>
              </w:rPr>
            </w:pPr>
            <w:r>
              <w:rPr>
                <w:b/>
                <w:u w:val="single"/>
              </w:rPr>
            </w:r>
          </w:p>
        </w:tc>
      </w:tr>
      <w:tr>
        <w:trPr/>
        <w:tc>
          <w:tcPr>
            <w:tcW w:w="2410" w:type="dxa"/>
            <w:tcBorders/>
          </w:tcPr>
          <w:p>
            <w:pPr>
              <w:pStyle w:val="Normal"/>
              <w:ind w:hanging="720" w:start="720" w:end="0"/>
              <w:rPr/>
            </w:pPr>
            <w:r>
              <w:rPr/>
              <w:t>Austrian Schilling</w:t>
            </w:r>
          </w:p>
        </w:tc>
        <w:tc>
          <w:tcPr>
            <w:tcW w:w="2410" w:type="dxa"/>
            <w:tcBorders/>
          </w:tcPr>
          <w:p>
            <w:pPr>
              <w:pStyle w:val="Normal"/>
              <w:jc w:val="end"/>
              <w:rPr/>
            </w:pPr>
            <w:r>
              <w:rPr/>
              <w:t>Vienna</w:t>
            </w:r>
          </w:p>
        </w:tc>
      </w:tr>
      <w:tr>
        <w:trPr/>
        <w:tc>
          <w:tcPr>
            <w:tcW w:w="2410" w:type="dxa"/>
            <w:tcBorders/>
          </w:tcPr>
          <w:p>
            <w:pPr>
              <w:pStyle w:val="Normal"/>
              <w:ind w:hanging="720" w:start="720" w:end="0"/>
              <w:rPr/>
            </w:pPr>
            <w:r>
              <w:rPr/>
              <w:t>Belgian Franc</w:t>
            </w:r>
          </w:p>
        </w:tc>
        <w:tc>
          <w:tcPr>
            <w:tcW w:w="2410" w:type="dxa"/>
            <w:tcBorders/>
          </w:tcPr>
          <w:p>
            <w:pPr>
              <w:pStyle w:val="Normal"/>
              <w:jc w:val="end"/>
              <w:rPr/>
            </w:pPr>
            <w:r>
              <w:rPr/>
              <w:t>Brussels</w:t>
            </w:r>
          </w:p>
        </w:tc>
      </w:tr>
      <w:tr>
        <w:trPr/>
        <w:tc>
          <w:tcPr>
            <w:tcW w:w="2410" w:type="dxa"/>
            <w:tcBorders/>
          </w:tcPr>
          <w:p>
            <w:pPr>
              <w:pStyle w:val="Normal"/>
              <w:ind w:hanging="720" w:start="720" w:end="0"/>
              <w:rPr/>
            </w:pPr>
            <w:r>
              <w:rPr/>
              <w:t>Deutsche Mark</w:t>
            </w:r>
          </w:p>
        </w:tc>
        <w:tc>
          <w:tcPr>
            <w:tcW w:w="2410" w:type="dxa"/>
            <w:tcBorders/>
          </w:tcPr>
          <w:p>
            <w:pPr>
              <w:pStyle w:val="Normal"/>
              <w:jc w:val="end"/>
              <w:rPr/>
            </w:pPr>
            <w:r>
              <w:rPr/>
              <w:t>Frankfurt</w:t>
            </w:r>
          </w:p>
        </w:tc>
      </w:tr>
      <w:tr>
        <w:trPr/>
        <w:tc>
          <w:tcPr>
            <w:tcW w:w="2410" w:type="dxa"/>
            <w:tcBorders/>
          </w:tcPr>
          <w:p>
            <w:pPr>
              <w:pStyle w:val="Normal"/>
              <w:ind w:hanging="720" w:start="720" w:end="0"/>
              <w:rPr/>
            </w:pPr>
            <w:r>
              <w:rPr/>
              <w:t>Dutch Guilder</w:t>
            </w:r>
          </w:p>
        </w:tc>
        <w:tc>
          <w:tcPr>
            <w:tcW w:w="2410" w:type="dxa"/>
            <w:tcBorders/>
          </w:tcPr>
          <w:p>
            <w:pPr>
              <w:pStyle w:val="Normal"/>
              <w:jc w:val="end"/>
              <w:rPr/>
            </w:pPr>
            <w:r>
              <w:rPr/>
              <w:t>Amsterdam</w:t>
            </w:r>
          </w:p>
        </w:tc>
      </w:tr>
      <w:tr>
        <w:trPr/>
        <w:tc>
          <w:tcPr>
            <w:tcW w:w="2410" w:type="dxa"/>
            <w:tcBorders/>
          </w:tcPr>
          <w:p>
            <w:pPr>
              <w:pStyle w:val="Normal"/>
              <w:ind w:hanging="720" w:start="720" w:end="0"/>
              <w:rPr/>
            </w:pPr>
            <w:r>
              <w:rPr/>
              <w:t>Finnish Markka</w:t>
            </w:r>
          </w:p>
        </w:tc>
        <w:tc>
          <w:tcPr>
            <w:tcW w:w="2410" w:type="dxa"/>
            <w:tcBorders/>
          </w:tcPr>
          <w:p>
            <w:pPr>
              <w:pStyle w:val="Normal"/>
              <w:jc w:val="end"/>
              <w:rPr/>
            </w:pPr>
            <w:r>
              <w:rPr/>
              <w:t>Helsinki</w:t>
            </w:r>
          </w:p>
        </w:tc>
      </w:tr>
      <w:tr>
        <w:trPr/>
        <w:tc>
          <w:tcPr>
            <w:tcW w:w="2410" w:type="dxa"/>
            <w:tcBorders/>
          </w:tcPr>
          <w:p>
            <w:pPr>
              <w:pStyle w:val="Normal"/>
              <w:ind w:hanging="720" w:start="720" w:end="0"/>
              <w:rPr/>
            </w:pPr>
            <w:r>
              <w:rPr/>
              <w:t>French Franc</w:t>
            </w:r>
          </w:p>
        </w:tc>
        <w:tc>
          <w:tcPr>
            <w:tcW w:w="2410" w:type="dxa"/>
            <w:tcBorders/>
          </w:tcPr>
          <w:p>
            <w:pPr>
              <w:pStyle w:val="Normal"/>
              <w:jc w:val="end"/>
              <w:rPr/>
            </w:pPr>
            <w:r>
              <w:rPr/>
              <w:t>Paris</w:t>
            </w:r>
          </w:p>
        </w:tc>
      </w:tr>
      <w:tr>
        <w:trPr/>
        <w:tc>
          <w:tcPr>
            <w:tcW w:w="2410" w:type="dxa"/>
            <w:tcBorders/>
          </w:tcPr>
          <w:p>
            <w:pPr>
              <w:pStyle w:val="Normal"/>
              <w:ind w:hanging="720" w:start="720" w:end="0"/>
              <w:rPr/>
            </w:pPr>
            <w:r>
              <w:rPr/>
              <w:t>Irish Pound</w:t>
            </w:r>
          </w:p>
        </w:tc>
        <w:tc>
          <w:tcPr>
            <w:tcW w:w="2410" w:type="dxa"/>
            <w:tcBorders/>
          </w:tcPr>
          <w:p>
            <w:pPr>
              <w:pStyle w:val="Normal"/>
              <w:jc w:val="end"/>
              <w:rPr/>
            </w:pPr>
            <w:r>
              <w:rPr/>
              <w:t>Dublin</w:t>
            </w:r>
          </w:p>
        </w:tc>
      </w:tr>
      <w:tr>
        <w:trPr/>
        <w:tc>
          <w:tcPr>
            <w:tcW w:w="2410" w:type="dxa"/>
            <w:tcBorders/>
          </w:tcPr>
          <w:p>
            <w:pPr>
              <w:pStyle w:val="Normal"/>
              <w:ind w:hanging="720" w:start="720" w:end="0"/>
              <w:rPr/>
            </w:pPr>
            <w:r>
              <w:rPr/>
              <w:t>Italian Lira</w:t>
            </w:r>
          </w:p>
        </w:tc>
        <w:tc>
          <w:tcPr>
            <w:tcW w:w="2410" w:type="dxa"/>
            <w:tcBorders/>
          </w:tcPr>
          <w:p>
            <w:pPr>
              <w:pStyle w:val="Normal"/>
              <w:jc w:val="end"/>
              <w:rPr/>
            </w:pPr>
            <w:r>
              <w:rPr/>
              <w:t>Milan</w:t>
            </w:r>
          </w:p>
        </w:tc>
      </w:tr>
      <w:tr>
        <w:trPr/>
        <w:tc>
          <w:tcPr>
            <w:tcW w:w="2410" w:type="dxa"/>
            <w:tcBorders/>
          </w:tcPr>
          <w:p>
            <w:pPr>
              <w:pStyle w:val="Normal"/>
              <w:ind w:hanging="720" w:start="720" w:end="0"/>
              <w:rPr/>
            </w:pPr>
            <w:r>
              <w:rPr/>
              <w:t>Luxembourg Franc</w:t>
            </w:r>
          </w:p>
        </w:tc>
        <w:tc>
          <w:tcPr>
            <w:tcW w:w="2410" w:type="dxa"/>
            <w:tcBorders/>
          </w:tcPr>
          <w:p>
            <w:pPr>
              <w:pStyle w:val="Normal"/>
              <w:jc w:val="end"/>
              <w:rPr/>
            </w:pPr>
            <w:r>
              <w:rPr/>
              <w:t>Brussels and Luxembourg</w:t>
            </w:r>
          </w:p>
        </w:tc>
      </w:tr>
      <w:tr>
        <w:trPr/>
        <w:tc>
          <w:tcPr>
            <w:tcW w:w="2410" w:type="dxa"/>
            <w:tcBorders/>
          </w:tcPr>
          <w:p>
            <w:pPr>
              <w:pStyle w:val="Normal"/>
              <w:ind w:hanging="720" w:start="720" w:end="0"/>
              <w:rPr/>
            </w:pPr>
            <w:r>
              <w:rPr/>
              <w:t>Portuguese Escudo</w:t>
            </w:r>
          </w:p>
        </w:tc>
        <w:tc>
          <w:tcPr>
            <w:tcW w:w="2410" w:type="dxa"/>
            <w:tcBorders/>
          </w:tcPr>
          <w:p>
            <w:pPr>
              <w:pStyle w:val="Normal"/>
              <w:jc w:val="end"/>
              <w:rPr/>
            </w:pPr>
            <w:r>
              <w:rPr/>
              <w:t>Lisbon</w:t>
            </w:r>
          </w:p>
        </w:tc>
      </w:tr>
      <w:tr>
        <w:trPr/>
        <w:tc>
          <w:tcPr>
            <w:tcW w:w="2410" w:type="dxa"/>
            <w:tcBorders/>
          </w:tcPr>
          <w:p>
            <w:pPr>
              <w:pStyle w:val="Normal"/>
              <w:ind w:hanging="720" w:start="720" w:end="0"/>
              <w:rPr/>
            </w:pPr>
            <w:r>
              <w:rPr/>
              <w:t>Spanish Peseta</w:t>
            </w:r>
          </w:p>
        </w:tc>
        <w:tc>
          <w:tcPr>
            <w:tcW w:w="2410" w:type="dxa"/>
            <w:tcBorders/>
          </w:tcPr>
          <w:p>
            <w:pPr>
              <w:pStyle w:val="Normal"/>
              <w:jc w:val="end"/>
              <w:rPr/>
            </w:pPr>
            <w:r>
              <w:rPr/>
              <w:t>Madrid</w:t>
            </w:r>
          </w:p>
        </w:tc>
      </w:tr>
    </w:tbl>
    <w:p>
      <w:pPr>
        <w:pStyle w:val="Normal"/>
        <w:ind w:firstLine="720" w:start="720" w:end="0"/>
        <w:rPr>
          <w:b/>
        </w:rPr>
      </w:pPr>
      <w:r>
        <w:rPr>
          <w:b/>
        </w:rPr>
      </w:r>
    </w:p>
    <w:p>
      <w:pPr>
        <w:pStyle w:val="Normal"/>
        <w:tabs>
          <w:tab w:val="left" w:pos="720" w:leader="none"/>
          <w:tab w:val="left" w:pos="2250" w:leader="none"/>
          <w:tab w:val="right" w:pos="7920" w:leader="dot"/>
          <w:tab w:val="center" w:pos="9000" w:leader="none"/>
        </w:tabs>
        <w:rPr>
          <w:b/>
        </w:rPr>
      </w:pPr>
      <w:r>
        <w:rPr>
          <w:b/>
        </w:rPr>
        <w:tab/>
      </w:r>
    </w:p>
    <w:p>
      <w:pPr>
        <w:pStyle w:val="Normal"/>
        <w:tabs>
          <w:tab w:val="left" w:pos="720" w:leader="none"/>
          <w:tab w:val="left" w:pos="2250" w:leader="none"/>
          <w:tab w:val="right" w:pos="7920" w:leader="dot"/>
          <w:tab w:val="center" w:pos="9000" w:leader="none"/>
        </w:tabs>
        <w:ind w:start="720" w:end="0"/>
        <w:rPr>
          <w:b/>
        </w:rPr>
      </w:pPr>
      <w:r>
        <w:rPr>
          <w:b/>
        </w:rPr>
        <w:t>Section 1.3. National Currency Units.</w:t>
      </w:r>
    </w:p>
    <w:p>
      <w:pPr>
        <w:pStyle w:val="Normal"/>
        <w:tabs>
          <w:tab w:val="left" w:pos="720" w:leader="none"/>
          <w:tab w:val="left" w:pos="2250" w:leader="none"/>
          <w:tab w:val="right" w:pos="7920" w:leader="dot"/>
          <w:tab w:val="center" w:pos="9000" w:leader="none"/>
        </w:tabs>
        <w:rPr>
          <w:b/>
        </w:rPr>
      </w:pPr>
      <w:r>
        <w:rPr>
          <w:b/>
        </w:rPr>
      </w:r>
    </w:p>
    <w:p>
      <w:pPr>
        <w:pStyle w:val="Normal"/>
        <w:ind w:firstLine="720" w:end="0"/>
        <w:rPr/>
      </w:pPr>
      <w:r>
        <w:rPr/>
        <w:t>(a)</w:t>
        <w:tab/>
      </w:r>
      <w:r>
        <w:rPr>
          <w:b/>
        </w:rPr>
        <w:t>Austrian Schilling.</w:t>
      </w:r>
      <w:r>
        <w:rPr/>
        <w:t xml:space="preserve">  "Austrian Schilling" and "ATS" each means the denomination of the euro that was, prior to 1 January 1999, the lawful currency of the Republic of Austria.</w:t>
      </w:r>
    </w:p>
    <w:p>
      <w:pPr>
        <w:pStyle w:val="Normal"/>
        <w:ind w:hanging="720" w:start="720" w:end="0"/>
        <w:rPr/>
      </w:pPr>
      <w:r>
        <w:rPr/>
      </w:r>
    </w:p>
    <w:p>
      <w:pPr>
        <w:pStyle w:val="Normal"/>
        <w:ind w:firstLine="720" w:end="0"/>
        <w:rPr/>
      </w:pPr>
      <w:r>
        <w:rPr/>
        <w:t>(b)</w:t>
        <w:tab/>
      </w:r>
      <w:r>
        <w:rPr>
          <w:b/>
        </w:rPr>
        <w:t>Belgian Franc.</w:t>
      </w:r>
      <w:r>
        <w:rPr/>
        <w:t xml:space="preserve">  "Belgian Franc", "Bfr" and "BEF" each means the denomination of the euro that was, prior to 1 January 1999, the lawful currency of the Kingdom of Belgium.</w:t>
      </w:r>
    </w:p>
    <w:p>
      <w:pPr>
        <w:pStyle w:val="Normal"/>
        <w:tabs>
          <w:tab w:val="left" w:pos="720" w:leader="none"/>
          <w:tab w:val="left" w:pos="2250" w:leader="none"/>
          <w:tab w:val="right" w:pos="7920" w:leader="dot"/>
          <w:tab w:val="center" w:pos="9000" w:leader="none"/>
        </w:tabs>
        <w:rPr>
          <w:b/>
        </w:rPr>
      </w:pPr>
      <w:r>
        <w:rPr>
          <w:b/>
        </w:rPr>
      </w:r>
    </w:p>
    <w:p>
      <w:pPr>
        <w:pStyle w:val="Normal"/>
        <w:ind w:firstLine="720" w:end="0"/>
        <w:rPr/>
      </w:pPr>
      <w:r>
        <w:rPr/>
        <w:t>(c)</w:t>
        <w:tab/>
      </w:r>
      <w:r>
        <w:rPr>
          <w:b/>
        </w:rPr>
        <w:t>Deutsche Mark.</w:t>
      </w:r>
      <w:r>
        <w:rPr/>
        <w:t xml:space="preserve">  "Deutsche Mark", "DM" and "DEM" each means the denomination of the euro that was, prior to 1 January 1999, the lawful currency of the Federal Republic of Germany.  </w:t>
      </w:r>
    </w:p>
    <w:p>
      <w:pPr>
        <w:pStyle w:val="Normal"/>
        <w:ind w:hanging="720" w:start="720" w:end="0"/>
        <w:rPr/>
      </w:pPr>
      <w:r>
        <w:rPr/>
      </w:r>
    </w:p>
    <w:p>
      <w:pPr>
        <w:pStyle w:val="Normal"/>
        <w:ind w:firstLine="720" w:end="0"/>
        <w:rPr/>
      </w:pPr>
      <w:r>
        <w:rPr/>
        <w:t>(d)</w:t>
        <w:tab/>
      </w:r>
      <w:r>
        <w:rPr>
          <w:b/>
        </w:rPr>
        <w:t>Dutch Guilder.</w:t>
      </w:r>
      <w:r>
        <w:rPr/>
        <w:t xml:space="preserve">  "Dutch Guilder", "DFl" and "NLG" each means the denomination of the euro that was, prior to 1 January 1999, the lawful currency the Kingdom of the Netherlands.</w:t>
      </w:r>
    </w:p>
    <w:p>
      <w:pPr>
        <w:pStyle w:val="Normal"/>
        <w:rPr/>
      </w:pPr>
      <w:r>
        <w:rPr/>
      </w:r>
    </w:p>
    <w:p>
      <w:pPr>
        <w:pStyle w:val="Normal"/>
        <w:ind w:firstLine="720" w:end="0"/>
        <w:rPr/>
      </w:pPr>
      <w:r>
        <w:rPr/>
        <w:t>(e)</w:t>
        <w:tab/>
      </w:r>
      <w:r>
        <w:rPr>
          <w:b/>
        </w:rPr>
        <w:t>Finnish Markka.</w:t>
      </w:r>
      <w:r>
        <w:rPr/>
        <w:t xml:space="preserve">  "Finnish Markka" and "FIM" each means the denomination of the euro that was, prior to 1 January 1999, the lawful currency of the Republic of Finland.</w:t>
      </w:r>
    </w:p>
    <w:p>
      <w:pPr>
        <w:pStyle w:val="Normal"/>
        <w:ind w:hanging="720" w:start="720" w:end="0"/>
        <w:rPr/>
      </w:pPr>
      <w:r>
        <w:rPr/>
      </w:r>
    </w:p>
    <w:p>
      <w:pPr>
        <w:pStyle w:val="Normal"/>
        <w:ind w:firstLine="720" w:end="0"/>
        <w:rPr/>
      </w:pPr>
      <w:r>
        <w:rPr/>
        <w:t>(f)</w:t>
        <w:tab/>
      </w:r>
      <w:r>
        <w:rPr>
          <w:b/>
        </w:rPr>
        <w:t>French Franc.</w:t>
      </w:r>
      <w:r>
        <w:rPr/>
        <w:t xml:space="preserve">  "French Franc", "Ffr" and "FRF" each means the denomination of the euro that was, prior to 1 January 1999, the lawful currency of the Republic of France.  </w:t>
      </w:r>
    </w:p>
    <w:p>
      <w:pPr>
        <w:pStyle w:val="Normal"/>
        <w:ind w:hanging="720" w:start="720" w:end="0"/>
        <w:rPr/>
      </w:pPr>
      <w:r>
        <w:rPr/>
      </w:r>
    </w:p>
    <w:p>
      <w:pPr>
        <w:pStyle w:val="Normal"/>
        <w:ind w:firstLine="720" w:end="0"/>
        <w:rPr/>
      </w:pPr>
      <w:r>
        <w:rPr/>
        <w:t>(g)</w:t>
        <w:tab/>
      </w:r>
      <w:r>
        <w:rPr>
          <w:b/>
        </w:rPr>
        <w:t>Irish Pound.</w:t>
      </w:r>
      <w:r>
        <w:rPr/>
        <w:t xml:space="preserve">  "Irish Pound", "Irish Punt", "IR£" and "IEP" each means the denomination of the euro that was, prior to 1 January 1999, the lawful currency of Ireland.</w:t>
      </w:r>
    </w:p>
    <w:p>
      <w:pPr>
        <w:pStyle w:val="Normal"/>
        <w:ind w:hanging="720" w:start="720" w:end="0"/>
        <w:rPr/>
      </w:pPr>
      <w:r>
        <w:rPr/>
      </w:r>
    </w:p>
    <w:p>
      <w:pPr>
        <w:pStyle w:val="Normal"/>
        <w:ind w:firstLine="720" w:end="0"/>
        <w:rPr/>
      </w:pPr>
      <w:r>
        <w:rPr/>
        <w:t>(h)</w:t>
        <w:tab/>
      </w:r>
      <w:r>
        <w:rPr>
          <w:b/>
        </w:rPr>
        <w:t>Italian Lira.</w:t>
      </w:r>
      <w:r>
        <w:rPr/>
        <w:t xml:space="preserve">  "Italian Lira", "Lira" and "ITL" each means the denomination of the euro that was, prior to 1 January 1999, the lawful currency of the Republic of Italy.  </w:t>
      </w:r>
    </w:p>
    <w:p>
      <w:pPr>
        <w:pStyle w:val="Normal"/>
        <w:ind w:hanging="720" w:start="720" w:end="0"/>
        <w:rPr/>
      </w:pPr>
      <w:r>
        <w:rPr/>
      </w:r>
    </w:p>
    <w:p>
      <w:pPr>
        <w:pStyle w:val="Normal"/>
        <w:ind w:firstLine="720" w:end="0"/>
        <w:rPr/>
      </w:pPr>
      <w:r>
        <w:rPr/>
        <w:t>(i)</w:t>
        <w:tab/>
      </w:r>
      <w:r>
        <w:rPr>
          <w:b/>
        </w:rPr>
        <w:t>Luxembourg Franc.</w:t>
      </w:r>
      <w:r>
        <w:rPr/>
        <w:t xml:space="preserve">  "Luxembourg Franc", "Lfr" and "LUF" each means the denomination of the euro that was, prior to 1 January 1999, the lawful currency of the Grand Duchy of Luxembourg.</w:t>
      </w:r>
    </w:p>
    <w:p>
      <w:pPr>
        <w:pStyle w:val="Normal"/>
        <w:ind w:hanging="720" w:start="720" w:end="0"/>
        <w:rPr/>
      </w:pPr>
      <w:r>
        <w:rPr/>
      </w:r>
    </w:p>
    <w:p>
      <w:pPr>
        <w:pStyle w:val="Normal"/>
        <w:ind w:firstLine="720" w:end="0"/>
        <w:rPr/>
      </w:pPr>
      <w:r>
        <w:rPr/>
        <w:t>(j)</w:t>
        <w:tab/>
      </w:r>
      <w:r>
        <w:rPr>
          <w:b/>
        </w:rPr>
        <w:t>Portuguese Escudo.</w:t>
      </w:r>
      <w:r>
        <w:rPr/>
        <w:t xml:space="preserve">  "Portuguese Escudo" and "PTE" each means the denomination of the euro that was, prior to 1 January 1999, the lawful currency of the Republic of Portugal.</w:t>
      </w:r>
    </w:p>
    <w:p>
      <w:pPr>
        <w:pStyle w:val="Normal"/>
        <w:rPr/>
      </w:pPr>
      <w:r>
        <w:rPr/>
      </w:r>
    </w:p>
    <w:p>
      <w:pPr>
        <w:pStyle w:val="Normal"/>
        <w:ind w:firstLine="720" w:end="0"/>
        <w:rPr/>
      </w:pPr>
      <w:r>
        <w:rPr/>
        <w:t>(k)</w:t>
        <w:tab/>
      </w:r>
      <w:r>
        <w:rPr>
          <w:b/>
        </w:rPr>
        <w:t>Spanish Peseta.</w:t>
      </w:r>
      <w:r>
        <w:rPr/>
        <w:t xml:space="preserve">  "Spanish Peseta", "Pta", "SPp", "SPP" and "ESP" each means the denomination of the euro that was, prior to 1 January 1999, the lawful currency of the Kingdom of Spain.</w:t>
      </w:r>
    </w:p>
    <w:p>
      <w:pPr>
        <w:pStyle w:val="Normal"/>
        <w:ind w:firstLine="720" w:end="0"/>
        <w:rPr/>
      </w:pPr>
      <w:r>
        <w:rPr/>
      </w:r>
    </w:p>
    <w:p>
      <w:pPr>
        <w:pStyle w:val="Normal"/>
        <w:ind w:firstLine="720" w:end="0"/>
        <w:rPr/>
      </w:pPr>
      <w:r>
        <w:rPr>
          <w:b/>
        </w:rPr>
        <w:t xml:space="preserve">Section 1.4. ECU.  </w:t>
      </w:r>
      <w:r>
        <w:rPr/>
        <w:t>"ECU" means the former unit of account of the European Community, as referred to in Article 109(g) of the EC Treaty and as defined in Council Regulation (EC) No 3320/94.</w:t>
      </w:r>
    </w:p>
    <w:p>
      <w:pPr>
        <w:pStyle w:val="Normal"/>
        <w:rPr>
          <w:b/>
        </w:rPr>
      </w:pPr>
      <w:r>
        <w:rPr>
          <w:b/>
        </w:rPr>
      </w:r>
    </w:p>
    <w:p>
      <w:pPr>
        <w:pStyle w:val="Normal"/>
        <w:keepNext w:val="true"/>
        <w:tabs>
          <w:tab w:val="left" w:pos="720" w:leader="none"/>
          <w:tab w:val="left" w:pos="2250" w:leader="none"/>
          <w:tab w:val="right" w:pos="7920" w:leader="dot"/>
          <w:tab w:val="center" w:pos="9000" w:leader="none"/>
        </w:tabs>
        <w:rPr>
          <w:b/>
        </w:rPr>
      </w:pPr>
      <w:r>
        <w:rPr>
          <w:b/>
        </w:rPr>
        <w:tab/>
      </w:r>
      <w:r>
        <w:br w:type="page"/>
      </w:r>
    </w:p>
    <w:p>
      <w:pPr>
        <w:pStyle w:val="Normal"/>
        <w:keepNext w:val="true"/>
        <w:tabs>
          <w:tab w:val="left" w:pos="720" w:leader="none"/>
          <w:tab w:val="left" w:pos="2250" w:leader="none"/>
          <w:tab w:val="right" w:pos="7920" w:leader="dot"/>
          <w:tab w:val="center" w:pos="9000" w:leader="none"/>
        </w:tabs>
        <w:rPr/>
      </w:pPr>
      <w:r>
        <w:rPr>
          <w:b/>
        </w:rPr>
        <w:tab/>
        <w:t xml:space="preserve">Section 1.5. National Currency Unit Conversion Rates.  </w:t>
      </w:r>
      <w:r>
        <w:rPr/>
        <w:t>The conversion rates at which the National Currency Units by law became a denomination of the euro are set forth below:</w:t>
      </w:r>
    </w:p>
    <w:p>
      <w:pPr>
        <w:pStyle w:val="Normal"/>
        <w:keepNext w:val="true"/>
        <w:ind w:start="720" w:end="0"/>
        <w:rPr/>
      </w:pPr>
      <w:r>
        <w:rPr/>
      </w:r>
    </w:p>
    <w:tbl>
      <w:tblPr>
        <w:tblW w:w="4820" w:type="dxa"/>
        <w:jc w:val="start"/>
        <w:tblInd w:w="2518" w:type="dxa"/>
        <w:tblLayout w:type="fixed"/>
        <w:tblCellMar>
          <w:top w:w="0" w:type="dxa"/>
          <w:start w:w="108" w:type="dxa"/>
          <w:bottom w:w="0" w:type="dxa"/>
          <w:end w:w="108" w:type="dxa"/>
        </w:tblCellMar>
      </w:tblPr>
      <w:tblGrid>
        <w:gridCol w:w="2977"/>
        <w:gridCol w:w="1843"/>
      </w:tblGrid>
      <w:tr>
        <w:trPr/>
        <w:tc>
          <w:tcPr>
            <w:tcW w:w="2977" w:type="dxa"/>
            <w:tcBorders/>
          </w:tcPr>
          <w:p>
            <w:pPr>
              <w:pStyle w:val="Normal"/>
              <w:keepNext w:val="true"/>
              <w:ind w:hanging="720" w:start="720" w:end="0"/>
              <w:rPr>
                <w:b/>
                <w:u w:val="single"/>
              </w:rPr>
            </w:pPr>
            <w:r>
              <w:rPr>
                <w:b/>
                <w:u w:val="single"/>
              </w:rPr>
              <w:t>National Currency Unit</w:t>
            </w:r>
          </w:p>
          <w:p>
            <w:pPr>
              <w:pStyle w:val="Normal"/>
              <w:keepNext w:val="true"/>
              <w:ind w:hanging="720" w:start="720" w:end="0"/>
              <w:rPr>
                <w:b/>
                <w:u w:val="single"/>
              </w:rPr>
            </w:pPr>
            <w:r>
              <w:rPr>
                <w:b/>
                <w:u w:val="single"/>
              </w:rPr>
            </w:r>
          </w:p>
        </w:tc>
        <w:tc>
          <w:tcPr>
            <w:tcW w:w="1843" w:type="dxa"/>
            <w:tcBorders/>
          </w:tcPr>
          <w:p>
            <w:pPr>
              <w:pStyle w:val="Normal"/>
              <w:keepNext w:val="true"/>
              <w:jc w:val="end"/>
              <w:rPr>
                <w:b/>
                <w:u w:val="single"/>
              </w:rPr>
            </w:pPr>
            <w:r>
              <w:rPr>
                <w:b/>
                <w:u w:val="single"/>
              </w:rPr>
              <w:t>Conversion Rate</w:t>
            </w:r>
          </w:p>
          <w:p>
            <w:pPr>
              <w:pStyle w:val="Normal"/>
              <w:keepNext w:val="true"/>
              <w:jc w:val="end"/>
              <w:rPr>
                <w:b/>
                <w:u w:val="single"/>
              </w:rPr>
            </w:pPr>
            <w:r>
              <w:rPr>
                <w:b/>
                <w:u w:val="single"/>
              </w:rPr>
            </w:r>
          </w:p>
        </w:tc>
      </w:tr>
      <w:tr>
        <w:trPr/>
        <w:tc>
          <w:tcPr>
            <w:tcW w:w="2977" w:type="dxa"/>
            <w:tcBorders/>
          </w:tcPr>
          <w:p>
            <w:pPr>
              <w:pStyle w:val="Normal"/>
              <w:ind w:hanging="720" w:start="720" w:end="0"/>
              <w:rPr/>
            </w:pPr>
            <w:r>
              <w:rPr/>
              <w:t>Austrian Schilling</w:t>
            </w:r>
          </w:p>
        </w:tc>
        <w:tc>
          <w:tcPr>
            <w:tcW w:w="1843" w:type="dxa"/>
            <w:tcBorders/>
          </w:tcPr>
          <w:p>
            <w:pPr>
              <w:pStyle w:val="Normal"/>
              <w:jc w:val="end"/>
              <w:rPr>
                <w:color w:val="000000"/>
              </w:rPr>
            </w:pPr>
            <w:r>
              <w:rPr>
                <w:color w:val="000000"/>
              </w:rPr>
              <w:t>13.7603</w:t>
            </w:r>
          </w:p>
        </w:tc>
      </w:tr>
      <w:tr>
        <w:trPr/>
        <w:tc>
          <w:tcPr>
            <w:tcW w:w="2977" w:type="dxa"/>
            <w:tcBorders/>
          </w:tcPr>
          <w:p>
            <w:pPr>
              <w:pStyle w:val="Normal"/>
              <w:ind w:hanging="720" w:start="720" w:end="0"/>
              <w:rPr/>
            </w:pPr>
            <w:r>
              <w:rPr/>
              <w:t>Belgian Franc</w:t>
            </w:r>
          </w:p>
        </w:tc>
        <w:tc>
          <w:tcPr>
            <w:tcW w:w="1843" w:type="dxa"/>
            <w:tcBorders/>
          </w:tcPr>
          <w:p>
            <w:pPr>
              <w:pStyle w:val="Normal"/>
              <w:jc w:val="end"/>
              <w:rPr>
                <w:color w:val="000000"/>
              </w:rPr>
            </w:pPr>
            <w:r>
              <w:rPr>
                <w:color w:val="000000"/>
              </w:rPr>
              <w:t>40.3399</w:t>
            </w:r>
          </w:p>
        </w:tc>
      </w:tr>
      <w:tr>
        <w:trPr/>
        <w:tc>
          <w:tcPr>
            <w:tcW w:w="2977" w:type="dxa"/>
            <w:tcBorders/>
          </w:tcPr>
          <w:p>
            <w:pPr>
              <w:pStyle w:val="Normal"/>
              <w:ind w:hanging="720" w:start="720" w:end="0"/>
              <w:rPr/>
            </w:pPr>
            <w:r>
              <w:rPr/>
              <w:t>Deutsche Mark</w:t>
            </w:r>
          </w:p>
        </w:tc>
        <w:tc>
          <w:tcPr>
            <w:tcW w:w="1843" w:type="dxa"/>
            <w:tcBorders/>
          </w:tcPr>
          <w:p>
            <w:pPr>
              <w:pStyle w:val="Normal"/>
              <w:jc w:val="end"/>
              <w:rPr>
                <w:color w:val="000000"/>
              </w:rPr>
            </w:pPr>
            <w:r>
              <w:rPr>
                <w:color w:val="000000"/>
              </w:rPr>
              <w:t>1.95583</w:t>
            </w:r>
          </w:p>
        </w:tc>
      </w:tr>
      <w:tr>
        <w:trPr/>
        <w:tc>
          <w:tcPr>
            <w:tcW w:w="2977" w:type="dxa"/>
            <w:tcBorders/>
          </w:tcPr>
          <w:p>
            <w:pPr>
              <w:pStyle w:val="Normal"/>
              <w:ind w:hanging="720" w:start="720" w:end="0"/>
              <w:rPr/>
            </w:pPr>
            <w:r>
              <w:rPr/>
              <w:t>Dutch Guilder</w:t>
            </w:r>
          </w:p>
        </w:tc>
        <w:tc>
          <w:tcPr>
            <w:tcW w:w="1843" w:type="dxa"/>
            <w:tcBorders/>
          </w:tcPr>
          <w:p>
            <w:pPr>
              <w:pStyle w:val="Normal"/>
              <w:jc w:val="end"/>
              <w:rPr>
                <w:color w:val="000000"/>
              </w:rPr>
            </w:pPr>
            <w:r>
              <w:rPr>
                <w:color w:val="000000"/>
              </w:rPr>
              <w:t>2.20371</w:t>
            </w:r>
          </w:p>
        </w:tc>
      </w:tr>
      <w:tr>
        <w:trPr/>
        <w:tc>
          <w:tcPr>
            <w:tcW w:w="2977" w:type="dxa"/>
            <w:tcBorders/>
          </w:tcPr>
          <w:p>
            <w:pPr>
              <w:pStyle w:val="Normal"/>
              <w:ind w:hanging="720" w:start="720" w:end="0"/>
              <w:rPr/>
            </w:pPr>
            <w:r>
              <w:rPr/>
              <w:t>Finnish Markka</w:t>
            </w:r>
          </w:p>
        </w:tc>
        <w:tc>
          <w:tcPr>
            <w:tcW w:w="1843" w:type="dxa"/>
            <w:tcBorders/>
          </w:tcPr>
          <w:p>
            <w:pPr>
              <w:pStyle w:val="Normal"/>
              <w:jc w:val="end"/>
              <w:rPr>
                <w:color w:val="000000"/>
              </w:rPr>
            </w:pPr>
            <w:r>
              <w:rPr>
                <w:color w:val="000000"/>
              </w:rPr>
              <w:t>5.94573</w:t>
            </w:r>
          </w:p>
        </w:tc>
      </w:tr>
      <w:tr>
        <w:trPr/>
        <w:tc>
          <w:tcPr>
            <w:tcW w:w="2977" w:type="dxa"/>
            <w:tcBorders/>
          </w:tcPr>
          <w:p>
            <w:pPr>
              <w:pStyle w:val="Normal"/>
              <w:ind w:hanging="720" w:start="720" w:end="0"/>
              <w:rPr/>
            </w:pPr>
            <w:r>
              <w:rPr/>
              <w:t>French Franc</w:t>
            </w:r>
          </w:p>
        </w:tc>
        <w:tc>
          <w:tcPr>
            <w:tcW w:w="1843" w:type="dxa"/>
            <w:tcBorders/>
          </w:tcPr>
          <w:p>
            <w:pPr>
              <w:pStyle w:val="Normal"/>
              <w:jc w:val="end"/>
              <w:rPr>
                <w:color w:val="000000"/>
              </w:rPr>
            </w:pPr>
            <w:r>
              <w:rPr>
                <w:color w:val="000000"/>
              </w:rPr>
              <w:t>6.55957</w:t>
            </w:r>
          </w:p>
        </w:tc>
      </w:tr>
      <w:tr>
        <w:trPr/>
        <w:tc>
          <w:tcPr>
            <w:tcW w:w="2977" w:type="dxa"/>
            <w:tcBorders/>
          </w:tcPr>
          <w:p>
            <w:pPr>
              <w:pStyle w:val="Normal"/>
              <w:ind w:hanging="720" w:start="720" w:end="0"/>
              <w:rPr/>
            </w:pPr>
            <w:r>
              <w:rPr/>
              <w:t>Irish Pound</w:t>
            </w:r>
          </w:p>
        </w:tc>
        <w:tc>
          <w:tcPr>
            <w:tcW w:w="1843" w:type="dxa"/>
            <w:tcBorders/>
          </w:tcPr>
          <w:p>
            <w:pPr>
              <w:pStyle w:val="Normal"/>
              <w:jc w:val="end"/>
              <w:rPr>
                <w:color w:val="000000"/>
              </w:rPr>
            </w:pPr>
            <w:r>
              <w:rPr>
                <w:color w:val="000000"/>
              </w:rPr>
              <w:t>0.787564</w:t>
            </w:r>
          </w:p>
        </w:tc>
      </w:tr>
      <w:tr>
        <w:trPr/>
        <w:tc>
          <w:tcPr>
            <w:tcW w:w="2977" w:type="dxa"/>
            <w:tcBorders/>
          </w:tcPr>
          <w:p>
            <w:pPr>
              <w:pStyle w:val="Normal"/>
              <w:ind w:hanging="720" w:start="720" w:end="0"/>
              <w:rPr/>
            </w:pPr>
            <w:r>
              <w:rPr/>
              <w:t>Italian Lira</w:t>
            </w:r>
          </w:p>
        </w:tc>
        <w:tc>
          <w:tcPr>
            <w:tcW w:w="1843" w:type="dxa"/>
            <w:tcBorders/>
          </w:tcPr>
          <w:p>
            <w:pPr>
              <w:pStyle w:val="Normal"/>
              <w:jc w:val="end"/>
              <w:rPr>
                <w:color w:val="000000"/>
              </w:rPr>
            </w:pPr>
            <w:r>
              <w:rPr>
                <w:color w:val="000000"/>
              </w:rPr>
              <w:t>1936.27</w:t>
            </w:r>
          </w:p>
        </w:tc>
      </w:tr>
      <w:tr>
        <w:trPr/>
        <w:tc>
          <w:tcPr>
            <w:tcW w:w="2977" w:type="dxa"/>
            <w:tcBorders/>
          </w:tcPr>
          <w:p>
            <w:pPr>
              <w:pStyle w:val="Normal"/>
              <w:ind w:hanging="720" w:start="720" w:end="0"/>
              <w:rPr/>
            </w:pPr>
            <w:r>
              <w:rPr/>
              <w:t>Luxembourg Franc</w:t>
            </w:r>
          </w:p>
        </w:tc>
        <w:tc>
          <w:tcPr>
            <w:tcW w:w="1843" w:type="dxa"/>
            <w:tcBorders/>
          </w:tcPr>
          <w:p>
            <w:pPr>
              <w:pStyle w:val="Normal"/>
              <w:jc w:val="end"/>
              <w:rPr>
                <w:color w:val="000000"/>
              </w:rPr>
            </w:pPr>
            <w:r>
              <w:rPr>
                <w:color w:val="000000"/>
              </w:rPr>
              <w:t>40.3399</w:t>
            </w:r>
          </w:p>
        </w:tc>
      </w:tr>
      <w:tr>
        <w:trPr/>
        <w:tc>
          <w:tcPr>
            <w:tcW w:w="2977" w:type="dxa"/>
            <w:tcBorders/>
          </w:tcPr>
          <w:p>
            <w:pPr>
              <w:pStyle w:val="Normal"/>
              <w:ind w:hanging="720" w:start="720" w:end="0"/>
              <w:rPr/>
            </w:pPr>
            <w:r>
              <w:rPr/>
              <w:t>Portuguese Escudo</w:t>
            </w:r>
          </w:p>
        </w:tc>
        <w:tc>
          <w:tcPr>
            <w:tcW w:w="1843" w:type="dxa"/>
            <w:tcBorders/>
          </w:tcPr>
          <w:p>
            <w:pPr>
              <w:pStyle w:val="Normal"/>
              <w:jc w:val="end"/>
              <w:rPr>
                <w:color w:val="000000"/>
              </w:rPr>
            </w:pPr>
            <w:r>
              <w:rPr>
                <w:color w:val="000000"/>
              </w:rPr>
              <w:t>200.482</w:t>
            </w:r>
          </w:p>
        </w:tc>
      </w:tr>
      <w:tr>
        <w:trPr/>
        <w:tc>
          <w:tcPr>
            <w:tcW w:w="2977" w:type="dxa"/>
            <w:tcBorders/>
          </w:tcPr>
          <w:p>
            <w:pPr>
              <w:pStyle w:val="Normal"/>
              <w:ind w:hanging="720" w:start="720" w:end="0"/>
              <w:rPr/>
            </w:pPr>
            <w:r>
              <w:rPr/>
              <w:t>Spanish Peseta</w:t>
            </w:r>
          </w:p>
        </w:tc>
        <w:tc>
          <w:tcPr>
            <w:tcW w:w="1843" w:type="dxa"/>
            <w:tcBorders/>
          </w:tcPr>
          <w:p>
            <w:pPr>
              <w:pStyle w:val="Normal"/>
              <w:jc w:val="end"/>
              <w:rPr>
                <w:color w:val="000000"/>
              </w:rPr>
            </w:pPr>
            <w:r>
              <w:rPr>
                <w:color w:val="000000"/>
              </w:rPr>
              <w:t>166.386</w:t>
            </w:r>
          </w:p>
        </w:tc>
      </w:tr>
    </w:tbl>
    <w:p>
      <w:pPr>
        <w:pStyle w:val="Normal"/>
        <w:tabs>
          <w:tab w:val="left" w:pos="720" w:leader="none"/>
          <w:tab w:val="left" w:pos="2250" w:leader="none"/>
          <w:tab w:val="right" w:pos="7920" w:leader="dot"/>
          <w:tab w:val="center" w:pos="9000" w:leader="none"/>
        </w:tabs>
        <w:rPr>
          <w:b/>
        </w:rPr>
      </w:pPr>
      <w:r>
        <w:rPr>
          <w:b/>
        </w:rPr>
      </w:r>
      <w:r>
        <w:br w:type="page"/>
      </w:r>
    </w:p>
    <w:p>
      <w:pPr>
        <w:pStyle w:val="Normal"/>
        <w:ind w:firstLine="720" w:end="0"/>
        <w:jc w:val="center"/>
        <w:rPr>
          <w:b/>
        </w:rPr>
      </w:pPr>
      <w:r>
        <w:rPr>
          <w:b/>
        </w:rPr>
        <w:t>ARTICLE 2</w:t>
      </w:r>
    </w:p>
    <w:p>
      <w:pPr>
        <w:pStyle w:val="Normal"/>
        <w:ind w:firstLine="720" w:end="0"/>
        <w:jc w:val="center"/>
        <w:rPr>
          <w:b/>
        </w:rPr>
      </w:pPr>
      <w:r>
        <w:rPr>
          <w:b/>
        </w:rPr>
      </w:r>
    </w:p>
    <w:p>
      <w:pPr>
        <w:pStyle w:val="Normal"/>
        <w:ind w:firstLine="720" w:end="0"/>
        <w:jc w:val="center"/>
        <w:rPr>
          <w:b/>
        </w:rPr>
      </w:pPr>
      <w:r>
        <w:rPr>
          <w:b/>
        </w:rPr>
        <w:t>FLOATING AMOUNTS</w:t>
      </w:r>
    </w:p>
    <w:p>
      <w:pPr>
        <w:pStyle w:val="Normal"/>
        <w:ind w:firstLine="720" w:end="0"/>
        <w:rPr>
          <w:b/>
        </w:rPr>
      </w:pPr>
      <w:r>
        <w:rPr>
          <w:b/>
        </w:rPr>
      </w:r>
    </w:p>
    <w:p>
      <w:pPr>
        <w:pStyle w:val="Normal"/>
        <w:ind w:firstLine="720" w:end="0"/>
        <w:rPr/>
      </w:pPr>
      <w:r>
        <w:rPr>
          <w:b/>
        </w:rPr>
        <w:t xml:space="preserve">Section 2. Floating Rate Day Count Fractions.  </w:t>
      </w:r>
      <w:r>
        <w:rPr/>
        <w:t>For purposes of Section 6.2(f) of the Definitions, the Day Count Fraction for each of the following Floating Rate Options is indicated below:</w:t>
      </w:r>
    </w:p>
    <w:p>
      <w:pPr>
        <w:pStyle w:val="Normal"/>
        <w:rPr/>
      </w:pPr>
      <w:r>
        <w:rPr/>
      </w:r>
    </w:p>
    <w:p>
      <w:pPr>
        <w:pStyle w:val="Normal"/>
        <w:ind w:firstLine="720" w:start="720" w:end="0"/>
        <w:rPr/>
      </w:pPr>
      <w:r>
        <w:rPr/>
      </w:r>
    </w:p>
    <w:tbl>
      <w:tblPr>
        <w:tblW w:w="6662" w:type="dxa"/>
        <w:jc w:val="start"/>
        <w:tblInd w:w="1526" w:type="dxa"/>
        <w:tblLayout w:type="fixed"/>
        <w:tblCellMar>
          <w:top w:w="0" w:type="dxa"/>
          <w:start w:w="108" w:type="dxa"/>
          <w:bottom w:w="0" w:type="dxa"/>
          <w:end w:w="108" w:type="dxa"/>
        </w:tblCellMar>
      </w:tblPr>
      <w:tblGrid>
        <w:gridCol w:w="3262"/>
        <w:gridCol w:w="3400"/>
      </w:tblGrid>
      <w:tr>
        <w:trPr/>
        <w:tc>
          <w:tcPr>
            <w:tcW w:w="3262" w:type="dxa"/>
            <w:tcBorders/>
          </w:tcPr>
          <w:p>
            <w:pPr>
              <w:pStyle w:val="Normal"/>
              <w:rPr>
                <w:b/>
              </w:rPr>
            </w:pPr>
            <w:r>
              <w:rPr>
                <w:b/>
              </w:rPr>
              <w:t>Floating Rate Option</w:t>
            </w:r>
          </w:p>
        </w:tc>
        <w:tc>
          <w:tcPr>
            <w:tcW w:w="3400" w:type="dxa"/>
            <w:tcBorders/>
          </w:tcPr>
          <w:p>
            <w:pPr>
              <w:pStyle w:val="Normal"/>
              <w:jc w:val="end"/>
              <w:rPr>
                <w:b/>
              </w:rPr>
            </w:pPr>
            <w:r>
              <w:rPr>
                <w:b/>
              </w:rPr>
              <w:t>Day Count Fraction</w:t>
            </w:r>
          </w:p>
          <w:p>
            <w:pPr>
              <w:pStyle w:val="Normal"/>
              <w:rPr>
                <w:b/>
              </w:rPr>
            </w:pPr>
            <w:r>
              <w:rPr>
                <w:b/>
              </w:rPr>
            </w:r>
          </w:p>
        </w:tc>
      </w:tr>
      <w:tr>
        <w:trPr/>
        <w:tc>
          <w:tcPr>
            <w:tcW w:w="3262" w:type="dxa"/>
            <w:tcBorders/>
          </w:tcPr>
          <w:p>
            <w:pPr>
              <w:pStyle w:val="Normal"/>
              <w:rPr/>
            </w:pPr>
            <w:r>
              <w:rPr/>
              <w:t>"FRF-TAG-CDC"</w:t>
            </w:r>
          </w:p>
        </w:tc>
        <w:tc>
          <w:tcPr>
            <w:tcW w:w="3400" w:type="dxa"/>
            <w:tcBorders/>
          </w:tcPr>
          <w:p>
            <w:pPr>
              <w:pStyle w:val="Normal"/>
              <w:jc w:val="end"/>
              <w:rPr/>
            </w:pPr>
            <w:r>
              <w:rPr/>
              <w:t>Actual/365</w:t>
            </w:r>
          </w:p>
        </w:tc>
      </w:tr>
      <w:tr>
        <w:trPr/>
        <w:tc>
          <w:tcPr>
            <w:tcW w:w="3262" w:type="dxa"/>
            <w:tcBorders/>
          </w:tcPr>
          <w:p>
            <w:pPr>
              <w:pStyle w:val="Normal"/>
              <w:rPr/>
            </w:pPr>
            <w:r>
              <w:rPr/>
              <w:t>"FRF-TAG-CDC-COMPOUND"</w:t>
            </w:r>
          </w:p>
        </w:tc>
        <w:tc>
          <w:tcPr>
            <w:tcW w:w="3400" w:type="dxa"/>
            <w:tcBorders/>
          </w:tcPr>
          <w:p>
            <w:pPr>
              <w:pStyle w:val="Normal"/>
              <w:jc w:val="end"/>
              <w:rPr/>
            </w:pPr>
            <w:r>
              <w:rPr/>
              <w:t>Actual/365</w:t>
            </w:r>
          </w:p>
        </w:tc>
      </w:tr>
      <w:tr>
        <w:trPr/>
        <w:tc>
          <w:tcPr>
            <w:tcW w:w="3262" w:type="dxa"/>
            <w:tcBorders/>
          </w:tcPr>
          <w:p>
            <w:pPr>
              <w:pStyle w:val="Normal"/>
              <w:rPr/>
            </w:pPr>
            <w:r>
              <w:rPr/>
              <w:t>"BEF-BIBOR-ISDB"</w:t>
            </w:r>
          </w:p>
        </w:tc>
        <w:tc>
          <w:tcPr>
            <w:tcW w:w="3400" w:type="dxa"/>
            <w:tcBorders/>
          </w:tcPr>
          <w:p>
            <w:pPr>
              <w:pStyle w:val="Normal"/>
              <w:jc w:val="end"/>
              <w:rPr/>
            </w:pPr>
            <w:r>
              <w:rPr/>
              <w:t>Actual/365 (Fixed)</w:t>
            </w:r>
          </w:p>
        </w:tc>
      </w:tr>
      <w:tr>
        <w:trPr/>
        <w:tc>
          <w:tcPr>
            <w:tcW w:w="3262" w:type="dxa"/>
            <w:tcBorders/>
          </w:tcPr>
          <w:p>
            <w:pPr>
              <w:pStyle w:val="Normal"/>
              <w:rPr/>
            </w:pPr>
            <w:r>
              <w:rPr/>
              <w:t>"BEF-BIBOR-BEFIXING"</w:t>
            </w:r>
          </w:p>
        </w:tc>
        <w:tc>
          <w:tcPr>
            <w:tcW w:w="3400" w:type="dxa"/>
            <w:tcBorders/>
          </w:tcPr>
          <w:p>
            <w:pPr>
              <w:pStyle w:val="Normal"/>
              <w:jc w:val="end"/>
              <w:rPr/>
            </w:pPr>
            <w:r>
              <w:rPr/>
              <w:t>Actual/365 (Fixed)</w:t>
            </w:r>
          </w:p>
        </w:tc>
      </w:tr>
      <w:tr>
        <w:trPr/>
        <w:tc>
          <w:tcPr>
            <w:tcW w:w="3262" w:type="dxa"/>
            <w:tcBorders/>
          </w:tcPr>
          <w:p>
            <w:pPr>
              <w:pStyle w:val="Normal"/>
              <w:rPr/>
            </w:pPr>
            <w:r>
              <w:rPr/>
              <w:t>"BEF-BIBOR-Telerate"</w:t>
            </w:r>
          </w:p>
        </w:tc>
        <w:tc>
          <w:tcPr>
            <w:tcW w:w="3400" w:type="dxa"/>
            <w:tcBorders/>
          </w:tcPr>
          <w:p>
            <w:pPr>
              <w:pStyle w:val="Normal"/>
              <w:jc w:val="end"/>
              <w:rPr/>
            </w:pPr>
            <w:r>
              <w:rPr/>
              <w:t>Actual/365 (Fixed)</w:t>
            </w:r>
          </w:p>
        </w:tc>
      </w:tr>
      <w:tr>
        <w:trPr/>
        <w:tc>
          <w:tcPr>
            <w:tcW w:w="3262" w:type="dxa"/>
            <w:tcBorders/>
          </w:tcPr>
          <w:p>
            <w:pPr>
              <w:pStyle w:val="Normal"/>
              <w:rPr/>
            </w:pPr>
            <w:r>
              <w:rPr/>
              <w:t>"BEF-BIBOR-Reference Banks"</w:t>
            </w:r>
          </w:p>
        </w:tc>
        <w:tc>
          <w:tcPr>
            <w:tcW w:w="3400" w:type="dxa"/>
            <w:tcBorders/>
          </w:tcPr>
          <w:p>
            <w:pPr>
              <w:pStyle w:val="Normal"/>
              <w:jc w:val="end"/>
              <w:rPr/>
            </w:pPr>
            <w:r>
              <w:rPr/>
              <w:t>Actual/365 (Fixed)</w:t>
            </w:r>
          </w:p>
        </w:tc>
      </w:tr>
    </w:tbl>
    <w:p>
      <w:pPr>
        <w:pStyle w:val="Normal"/>
        <w:ind w:firstLine="720" w:start="720" w:end="0"/>
        <w:rPr/>
      </w:pPr>
      <w:r>
        <w:rPr/>
      </w:r>
      <w:r>
        <w:br w:type="page"/>
      </w:r>
    </w:p>
    <w:p>
      <w:pPr>
        <w:pStyle w:val="Normal"/>
        <w:tabs>
          <w:tab w:val="left" w:pos="720" w:leader="none"/>
          <w:tab w:val="left" w:pos="2250" w:leader="none"/>
          <w:tab w:val="right" w:pos="7920" w:leader="dot"/>
          <w:tab w:val="center" w:pos="9000" w:leader="none"/>
        </w:tabs>
        <w:jc w:val="center"/>
        <w:rPr>
          <w:b/>
        </w:rPr>
      </w:pPr>
      <w:r>
        <w:rPr>
          <w:b/>
        </w:rPr>
        <w:t>ARTICLE 3</w:t>
      </w:r>
    </w:p>
    <w:p>
      <w:pPr>
        <w:pStyle w:val="Normal"/>
        <w:tabs>
          <w:tab w:val="left" w:pos="720" w:leader="none"/>
          <w:tab w:val="left" w:pos="2250" w:leader="none"/>
          <w:tab w:val="right" w:pos="7920" w:leader="dot"/>
          <w:tab w:val="center" w:pos="9000" w:leader="none"/>
        </w:tabs>
        <w:jc w:val="center"/>
        <w:rPr>
          <w:b/>
        </w:rPr>
      </w:pPr>
      <w:r>
        <w:rPr>
          <w:b/>
        </w:rPr>
      </w:r>
    </w:p>
    <w:p>
      <w:pPr>
        <w:pStyle w:val="Normal"/>
        <w:tabs>
          <w:tab w:val="left" w:pos="720" w:leader="none"/>
          <w:tab w:val="left" w:pos="2250" w:leader="none"/>
          <w:tab w:val="right" w:pos="7920" w:leader="dot"/>
          <w:tab w:val="center" w:pos="9000" w:leader="none"/>
        </w:tabs>
        <w:jc w:val="center"/>
        <w:rPr>
          <w:b/>
        </w:rPr>
      </w:pPr>
      <w:r>
        <w:rPr>
          <w:b/>
        </w:rPr>
        <w:t>CALCULATION OF RATES</w:t>
      </w:r>
    </w:p>
    <w:p>
      <w:pPr>
        <w:pStyle w:val="Normal"/>
        <w:tabs>
          <w:tab w:val="left" w:pos="720" w:leader="none"/>
          <w:tab w:val="left" w:pos="2250" w:leader="none"/>
          <w:tab w:val="right" w:pos="7920" w:leader="dot"/>
          <w:tab w:val="center" w:pos="9000" w:leader="none"/>
        </w:tabs>
        <w:jc w:val="center"/>
        <w:rPr>
          <w:b/>
        </w:rPr>
      </w:pPr>
      <w:r>
        <w:rPr>
          <w:b/>
        </w:rPr>
        <w:t>FOR CERTAIN FLOATING RATE OPTIONS</w:t>
      </w:r>
    </w:p>
    <w:p>
      <w:pPr>
        <w:pStyle w:val="Normal"/>
        <w:tabs>
          <w:tab w:val="left" w:pos="720" w:leader="none"/>
          <w:tab w:val="left" w:pos="2250" w:leader="none"/>
          <w:tab w:val="right" w:pos="7920" w:leader="dot"/>
          <w:tab w:val="center" w:pos="9000" w:leader="none"/>
        </w:tabs>
        <w:rPr>
          <w:b/>
        </w:rPr>
      </w:pPr>
      <w:r>
        <w:rPr>
          <w:b/>
        </w:rPr>
      </w:r>
    </w:p>
    <w:p>
      <w:pPr>
        <w:pStyle w:val="Normal"/>
        <w:tabs>
          <w:tab w:val="left" w:pos="720" w:leader="none"/>
          <w:tab w:val="left" w:pos="2250" w:leader="none"/>
          <w:tab w:val="right" w:pos="7920" w:leader="dot"/>
          <w:tab w:val="center" w:pos="9000" w:leader="none"/>
        </w:tabs>
        <w:rPr/>
      </w:pPr>
      <w:r>
        <w:rPr>
          <w:b/>
        </w:rPr>
        <w:tab/>
        <w:t xml:space="preserve">Section 3.1. National Currency Unit Rate Options.  </w:t>
      </w:r>
      <w:r>
        <w:rPr/>
        <w:t>For purposes of determining a Relevant Rate:</w:t>
      </w:r>
    </w:p>
    <w:p>
      <w:pPr>
        <w:pStyle w:val="Normal"/>
        <w:tabs>
          <w:tab w:val="left" w:pos="720" w:leader="none"/>
          <w:tab w:val="left" w:pos="2250" w:leader="none"/>
          <w:tab w:val="right" w:pos="7920" w:leader="dot"/>
          <w:tab w:val="center" w:pos="9000" w:leader="none"/>
        </w:tabs>
        <w:rPr/>
      </w:pPr>
      <w:r>
        <w:rPr/>
      </w:r>
    </w:p>
    <w:p>
      <w:pPr>
        <w:pStyle w:val="Normal"/>
        <w:keepNext w:val="true"/>
        <w:ind w:firstLine="720" w:end="0"/>
        <w:rPr/>
      </w:pPr>
      <w:r>
        <w:rPr>
          <w:b/>
          <w:i/>
        </w:rPr>
        <w:t>(a)</w:t>
      </w:r>
      <w:r>
        <w:rPr>
          <w:i/>
        </w:rPr>
        <w:t xml:space="preserve"> </w:t>
        <w:tab/>
      </w:r>
      <w:r>
        <w:rPr>
          <w:b/>
          <w:i/>
        </w:rPr>
        <w:t>Austrian Schilling.</w:t>
      </w:r>
    </w:p>
    <w:p>
      <w:pPr>
        <w:pStyle w:val="Normal"/>
        <w:keepNext w:val="true"/>
        <w:rPr>
          <w:b/>
          <w:i/>
          <w:i/>
        </w:rPr>
      </w:pPr>
      <w:r>
        <w:rPr>
          <w:b/>
          <w:i/>
        </w:rPr>
      </w:r>
    </w:p>
    <w:p>
      <w:pPr>
        <w:pStyle w:val="Normal"/>
        <w:ind w:firstLine="720" w:start="720" w:end="0"/>
        <w:rPr/>
      </w:pPr>
      <w:r>
        <w:rPr/>
        <w:t>(i)</w:t>
        <w:tab/>
        <w:t>"ATS-VIBOR-VIBO" means that the rate for a Reset Date will be the rate for deposits in Austrian Schillings for a period of the Designated Maturity which appears on the Reuters Screen VIBO Page under the heading "Fix 11:00 a.m." as of 11:00 a.m., Vienna time, on the day that is two Vienna Banking Days preceding that Reset Date.  If such rate does not appear on the Reuters Screen VIBO page, the rate for that Reset Date will be determined as if the parties had specified "ATS-VIBOR-Reference Banks" as the applicable Floating Rate Option.</w:t>
      </w:r>
    </w:p>
    <w:p>
      <w:pPr>
        <w:pStyle w:val="Normal"/>
        <w:rPr/>
      </w:pPr>
      <w:r>
        <w:rPr/>
      </w:r>
    </w:p>
    <w:p>
      <w:pPr>
        <w:pStyle w:val="Normal"/>
        <w:ind w:firstLine="720" w:start="720" w:end="0"/>
        <w:rPr/>
      </w:pPr>
      <w:r>
        <w:rPr/>
        <w:t>(ii)</w:t>
        <w:tab/>
        <w:t>"ATS-VIBOR-Reference Banks" means that the rate for a Reset Date will be determined on the basis of the rates at which deposits in Austrian Schillings are offered by the Reference Banks at approximately 11:00 a.m., Vienna time, on the day that is two Vienna Banking Days preceding that Reset Date to prime banks in the Vienna interbank market for a period of the Designated Maturity commencing on that Reset Date and in a Representative Amount.  The Calculation Agent will request the principal Vienna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Vienna, selected by the Calculation Agent, at approximately 11:00 a.m., Vienna time, on that Reset Date for loans in Austrian Schillings to leading European banks for a period of the Designated Maturity commencing on that Reset Date and in a Representative Amount.</w:t>
      </w:r>
    </w:p>
    <w:p>
      <w:pPr>
        <w:pStyle w:val="Normal"/>
        <w:ind w:hanging="720" w:start="720" w:end="0"/>
        <w:rPr>
          <w:b/>
          <w:i/>
          <w:i/>
        </w:rPr>
      </w:pPr>
      <w:r>
        <w:rPr>
          <w:b/>
          <w:i/>
        </w:rPr>
      </w:r>
    </w:p>
    <w:p>
      <w:pPr>
        <w:pStyle w:val="Normal"/>
        <w:ind w:firstLine="720" w:start="720" w:end="0"/>
        <w:rPr/>
      </w:pPr>
      <w:r>
        <w:rPr/>
        <w:t>(iii)</w:t>
        <w:tab/>
        <w:t>"ATS-Annual Swap Rate" means that the rate for a Reset Date will be the annual swap rate for Austrian Schilling swap transactions with a maturity of the Designated Maturity, expressed as a percentage, which appears on the Telerate Page</w:t>
      </w:r>
      <w:r>
        <w:rPr>
          <w:i/>
        </w:rPr>
        <w:t xml:space="preserve"> </w:t>
      </w:r>
      <w:r>
        <w:rPr/>
        <w:t>42280 under the heading "MEAN" as of 11:00 a.m., Vienna time, on the day that is two Vienna Banking Days preceding that Reset Date.  If such rate does not appear on the Telerate Page 42280, the rate for that Reset Date will be determined as if the parties had specified "ATS-Annual Swap Rate-Reference Banks" as the applicable Floating Rate Option.</w:t>
      </w:r>
    </w:p>
    <w:p>
      <w:pPr>
        <w:pStyle w:val="Normal"/>
        <w:ind w:hanging="720" w:start="720" w:end="0"/>
        <w:rPr/>
      </w:pPr>
      <w:r>
        <w:rPr/>
      </w:r>
    </w:p>
    <w:p>
      <w:pPr>
        <w:pStyle w:val="Normal"/>
        <w:ind w:firstLine="720" w:start="720" w:end="0"/>
        <w:rPr/>
      </w:pPr>
      <w:r>
        <w:rPr/>
        <w:t>(iv)</w:t>
        <w:tab/>
        <w:t>"ATS-Annual Swap Rate-Reference Banks" means that the rate for a Reset Date will be a percentage determined on the basis of the mid-market annual swap rate quotations provided by the Reference Banks at approximately 11:00 a.m., Vienna time, on the day that is two Vienna Banking Days preceding the Reset Date, and, for this purpose, the mid-market annual swap rate means the mean of the bid and offered rates for the annual fixed leg of a fixed-for-floating Austrian Schilling interest rate swap transaction with a term equal to the Designated Maturity commencing on that Reset Date and in a Representative Amount with an acknowledged dealer of good credit in the swap market, where the floating leg is equivalent to ATS-VIBOR-VIBO with a Designated Maturity of six months on a 30/360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ind w:hanging="720" w:start="720" w:end="0"/>
        <w:rPr>
          <w:b/>
          <w:i/>
          <w:i/>
        </w:rPr>
      </w:pPr>
      <w:r>
        <w:rPr>
          <w:b/>
          <w:i/>
        </w:rPr>
      </w:r>
    </w:p>
    <w:p>
      <w:pPr>
        <w:pStyle w:val="Normal"/>
        <w:keepNext w:val="true"/>
        <w:ind w:start="720" w:end="0"/>
        <w:rPr>
          <w:b/>
          <w:i/>
          <w:i/>
        </w:rPr>
      </w:pPr>
      <w:r>
        <w:rPr>
          <w:b/>
          <w:i/>
        </w:rPr>
        <w:t>(b)</w:t>
        <w:tab/>
        <w:t>Belgian Franc.</w:t>
      </w:r>
    </w:p>
    <w:p>
      <w:pPr>
        <w:pStyle w:val="Normal"/>
        <w:keepNext w:val="true"/>
        <w:ind w:hanging="720" w:start="720" w:end="0"/>
        <w:rPr>
          <w:b/>
          <w:i/>
          <w:i/>
        </w:rPr>
      </w:pPr>
      <w:r>
        <w:rPr>
          <w:b/>
          <w:i/>
        </w:rPr>
      </w:r>
    </w:p>
    <w:p>
      <w:pPr>
        <w:pStyle w:val="Normal"/>
        <w:ind w:firstLine="720" w:start="720" w:end="0"/>
        <w:rPr/>
      </w:pPr>
      <w:r>
        <w:rPr/>
        <w:t>(i)</w:t>
        <w:tab/>
        <w:t>"BEF-BIBOR-ISDB" means that the rate for a Reset Date will be the rate for deposits in Belgian Francs for a period of the Designated Maturity which appears on the Reuters Screen ISDB Page as of 11:00 a.m., Brussels time, on the day that is two Brussels Banking Days preceding that Reset Date.  If such rate does not appear on the Reuters Screen ISDB Page, the rate for that Reset Date will be determined as if the parties had specified "BEF-BIBOR-Reference Banks" as the applicable Floating Rate Option.</w:t>
      </w:r>
    </w:p>
    <w:p>
      <w:pPr>
        <w:pStyle w:val="Normal"/>
        <w:rPr/>
      </w:pPr>
      <w:r>
        <w:rPr/>
      </w:r>
    </w:p>
    <w:p>
      <w:pPr>
        <w:pStyle w:val="Normal"/>
        <w:ind w:firstLine="720" w:start="720" w:end="0"/>
        <w:rPr/>
      </w:pPr>
      <w:r>
        <w:rPr/>
        <w:t>(ii)</w:t>
        <w:tab/>
        <w:t>"BEF-BIBOR-BEFIXING" means that the rate for a Reset Date will be the rate for deposits in Belgian Francs for a period of the Designated Maturity which appears on the Reuters Screen BEFIXING Page under the heading "BIBOR" as of 11:00 a.m., Brussels time, on the day that is two Brussels Banking Days preceding that Reset Date.  If such rate does not appear on the Reuters Screen BEFIXING Page, the rate for that Reset Date will be determined as if the parties had specified "BEF-BIBOR-Reference Banks" as the applicable Floating Rate Option.</w:t>
      </w:r>
    </w:p>
    <w:p>
      <w:pPr>
        <w:pStyle w:val="Normal"/>
        <w:rPr/>
      </w:pPr>
      <w:r>
        <w:rPr/>
      </w:r>
    </w:p>
    <w:p>
      <w:pPr>
        <w:pStyle w:val="Normal"/>
        <w:ind w:firstLine="720" w:start="720" w:end="0"/>
        <w:rPr/>
      </w:pPr>
      <w:r>
        <w:rPr/>
        <w:t xml:space="preserve">(iii) </w:t>
        <w:tab/>
        <w:t>"BEF-BIBOR-Telerate" means that the rate for a Reset Date will be the rate for deposits in Belgian Francs for a period of the Designated Maturity which appears on the Telerate Page 29200 under the heading "BIBOR" as of 11:00 a.m., Brussels time, on the day that is two Brussels Banking Days preceding that Reset Date.  If such rate does not appear on the Telerate Page 29200, the rate for that Reset Date will be determined as if the parties had specified "BEF-BIBOR-Reference Banks" as the applicable Floating Rate Option.</w:t>
      </w:r>
    </w:p>
    <w:p>
      <w:pPr>
        <w:pStyle w:val="Normal"/>
        <w:rPr/>
      </w:pPr>
      <w:r>
        <w:rPr/>
      </w:r>
    </w:p>
    <w:p>
      <w:pPr>
        <w:pStyle w:val="Normal"/>
        <w:ind w:firstLine="720" w:start="720" w:end="0"/>
        <w:rPr/>
      </w:pPr>
      <w:r>
        <w:rPr/>
        <w:t>(iv)</w:t>
        <w:tab/>
        <w:t>"BEF-BIBOR-Reference Banks" means that the rate for a Reset Date will be determined on the basis of the rates at which deposits in Belgian Francs are offered by the Reference Banks at approximately 11:00 a.m., Brussels time, on the day that is two Brussels Banking Days preceding that Reset Date to prime banks in the Brussels interbank market for a period of the Designated Maturity commencing on that Reset Date and in a Representative Amount.  The Calculation Agent will request the principal Brussels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Brussels, selected by the Calculation Agent, at approximately 11:00 a.m., Brussels time, on the Reset Date for loans in Belgian Francs to leading European banks for a period of the Designated Maturity commencing on that Reset Date and in a Representative Amount.</w:t>
      </w:r>
    </w:p>
    <w:p>
      <w:pPr>
        <w:pStyle w:val="Normal"/>
        <w:rPr/>
      </w:pPr>
      <w:r>
        <w:rPr/>
      </w:r>
    </w:p>
    <w:p>
      <w:pPr>
        <w:pStyle w:val="Normal"/>
        <w:keepNext w:val="true"/>
        <w:ind w:start="720" w:end="0"/>
        <w:rPr>
          <w:b/>
          <w:i/>
          <w:i/>
        </w:rPr>
      </w:pPr>
      <w:r>
        <w:rPr>
          <w:b/>
          <w:i/>
        </w:rPr>
        <w:t>(c)</w:t>
        <w:tab/>
        <w:t>Deutsche Mark.</w:t>
      </w:r>
    </w:p>
    <w:p>
      <w:pPr>
        <w:pStyle w:val="Normal"/>
        <w:keepNext w:val="true"/>
        <w:ind w:hanging="720" w:start="720" w:end="0"/>
        <w:rPr>
          <w:b/>
          <w:i/>
          <w:i/>
        </w:rPr>
      </w:pPr>
      <w:r>
        <w:rPr>
          <w:b/>
          <w:i/>
        </w:rPr>
      </w:r>
    </w:p>
    <w:p>
      <w:pPr>
        <w:pStyle w:val="Normal"/>
        <w:ind w:firstLine="720" w:start="720" w:end="0"/>
        <w:rPr/>
      </w:pPr>
      <w:r>
        <w:rPr/>
        <w:t>(i)</w:t>
        <w:tab/>
        <w:t>"DEM-LIBOR-ISDA" means that the rate for a Reset Date will be the rate for deposits in Deutsche Marks for a period of the Designated Maturity which appears on the Reuters Screen ISDA Page as of 11:00 a.m., London time, on the day that is two London Banking Days preceding that Reset Date.  If such rate does not appear on the Reuters Screen ISDA Page, the rate for that Reset Date will be determined as if the parties had specified "DEM-LIBOR-Reference Banks" as the applicable Floating Rate Option.</w:t>
      </w:r>
    </w:p>
    <w:p>
      <w:pPr>
        <w:pStyle w:val="Normal"/>
        <w:rPr/>
      </w:pPr>
      <w:r>
        <w:rPr/>
      </w:r>
    </w:p>
    <w:p>
      <w:pPr>
        <w:pStyle w:val="Normal"/>
        <w:ind w:firstLine="720" w:start="720" w:end="0"/>
        <w:rPr/>
      </w:pPr>
      <w:r>
        <w:rPr/>
        <w:t>(ii)</w:t>
        <w:tab/>
        <w:t>"DEM-LIBOR-BBA" means that the rate for a Reset Date will be the rate for deposits in Deutsche Marks for a period of the Designated Maturity which appears on the Telerate Page 3750 as of 11:00 a.m., London time, on the day that is two London Banking Days preceding that Reset Date.  If such rate does not appear on the Telerate Page 3750, the rate for that Reset Date will be determined as if the parties had specified "DEM-LIBOR-Reference Banks" as the applicable Floating Rate Option.</w:t>
      </w:r>
    </w:p>
    <w:p>
      <w:pPr>
        <w:pStyle w:val="Normal"/>
        <w:rPr/>
      </w:pPr>
      <w:r>
        <w:rPr/>
      </w:r>
    </w:p>
    <w:p>
      <w:pPr>
        <w:pStyle w:val="Normal"/>
        <w:ind w:firstLine="720" w:start="720" w:end="0"/>
        <w:rPr/>
      </w:pPr>
      <w:r>
        <w:rPr/>
        <w:t>(iii)</w:t>
        <w:tab/>
        <w:t>"DEM-LIBOR-Telerate" means that the rate for a Reset Date will be the arithmetic mean of the six most recent non-zero offered rates for deposits in Deutsche Marks which appear on the Telerate Page 22000 in the "LIBOR DEM" section of the Page</w:t>
      </w:r>
      <w:r>
        <w:rPr>
          <w:i/>
        </w:rPr>
        <w:t xml:space="preserve"> </w:t>
      </w:r>
      <w:r>
        <w:rPr/>
        <w:t xml:space="preserve">as of 11:00 a.m., London time, on that Reset Date.  If fewer than six but more than one non-zero offered rates appear on the Telerate Page 22000, the rate for that Reset Date will be the arithmetic mean of those non-zero offered rates.  If fewer than two rates appear on the Telerate Page 22000, the rate for that Reset Date will be the rate in effect on the preceding Reset Date.  </w:t>
      </w:r>
    </w:p>
    <w:p>
      <w:pPr>
        <w:pStyle w:val="Normal"/>
        <w:rPr/>
      </w:pPr>
      <w:r>
        <w:rPr/>
      </w:r>
    </w:p>
    <w:p>
      <w:pPr>
        <w:pStyle w:val="Normal"/>
        <w:ind w:firstLine="720" w:start="720" w:end="0"/>
        <w:rPr/>
      </w:pPr>
      <w:r>
        <w:rPr/>
        <w:t>(iv)</w:t>
        <w:tab/>
        <w:t>"DEM-LIBOR-Reference Banks" means that the rate for a Reset Date will be determined on the basis of the rates at which deposits in Deutsche Marks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Frankfurt, selected by the Calculation Agent, at approximately 11:00 a.m., Frankfurt time, on that Reset Date for loans in Deutsche Marks to leading European banks for a period of the Designated Maturity commencing on that Reset Date and in a Representative Amount.</w:t>
      </w:r>
    </w:p>
    <w:p>
      <w:pPr>
        <w:pStyle w:val="Normal"/>
        <w:rPr/>
      </w:pPr>
      <w:r>
        <w:rPr/>
      </w:r>
    </w:p>
    <w:p>
      <w:pPr>
        <w:pStyle w:val="Normal"/>
        <w:ind w:firstLine="720" w:start="720" w:end="0"/>
        <w:rPr/>
      </w:pPr>
      <w:r>
        <w:rPr/>
        <w:t>(v)</w:t>
        <w:tab/>
        <w:t>"DEM-FIBOR-ISDB" means that the rate for a Reset Date will be the rate for deposits in Deutsche Marks for a period of the Designated Maturity which appears on the Reuters Screen ISDB Page as of 12:00 noon, Frankfurt time, on that Reset Date.  If such rate does not appear on the Reuters Screen ISDB Page, the rate for that Reset Date will be determined as if the parties had specified "DEM-FIBOR-Reference Banks" as the applicable Floating Rate Option.</w:t>
      </w:r>
    </w:p>
    <w:p>
      <w:pPr>
        <w:pStyle w:val="Normal"/>
        <w:rPr/>
      </w:pPr>
      <w:r>
        <w:rPr/>
      </w:r>
    </w:p>
    <w:p>
      <w:pPr>
        <w:pStyle w:val="Normal"/>
        <w:ind w:firstLine="720" w:start="720" w:end="0"/>
        <w:rPr/>
      </w:pPr>
      <w:r>
        <w:rPr/>
        <w:t>(vi)</w:t>
        <w:tab/>
        <w:t>"DEM-FIBOR-FIBO-OLD" means that the rate for a Reset Date will be the rate for deposits in Deutsche Marks for a period of the Designated Maturity which appears on the Reuters Screen FIBO Page above the words "FIBOR 360/360 OLD" as of 11:00 a.m., Frankfurt time, on that Reset Date.  If such rate does not appear on the Reuters Screen FIBO Page, the rate for that Reset Date will be determined as if the parties had specified "DEM-FIBOR-Reference Banks" as the applicable Floating Rate Option.</w:t>
      </w:r>
    </w:p>
    <w:p>
      <w:pPr>
        <w:pStyle w:val="Normal"/>
        <w:rPr/>
      </w:pPr>
      <w:r>
        <w:rPr/>
      </w:r>
    </w:p>
    <w:p>
      <w:pPr>
        <w:pStyle w:val="Normal"/>
        <w:ind w:firstLine="720" w:start="720" w:end="0"/>
        <w:rPr/>
      </w:pPr>
      <w:r>
        <w:rPr/>
        <w:t>(vii)</w:t>
        <w:tab/>
        <w:t>"DEM-FIBOR-FIBO" means that the rate for a Reset Date will be the rate for deposits in Deutsche Marks for a period of the Designated Maturity which appears on the Reuters Screen FIBO Page above the words "FIBOR 365/360" as of 11:00 a.m., Frankfurt time, on the day that is two Frankfurt Banking Days preceding that Reset Date.  If such rate does not appear on the Reuters Screen FIBO Page, the rate for that Reset Date will be determined as if the parties had specified "DEM-FIBOR-Reference Banks" as the applicable Floating Rate Option.</w:t>
      </w:r>
    </w:p>
    <w:p>
      <w:pPr>
        <w:pStyle w:val="Normal"/>
        <w:rPr/>
      </w:pPr>
      <w:r>
        <w:rPr/>
      </w:r>
    </w:p>
    <w:p>
      <w:pPr>
        <w:pStyle w:val="Normal"/>
        <w:ind w:firstLine="720" w:start="720" w:end="0"/>
        <w:rPr/>
      </w:pPr>
      <w:r>
        <w:rPr/>
        <w:t>(viii)</w:t>
        <w:tab/>
        <w:t>"DEM-FIBOR-GBA" means that the rate for a Reset Date will be the rate for deposits in Deutsche marks for a period of the Designated Maturity which appears on the Telerate Page 22000 under the heading "FIBOR 365/360" as of 11:00 a.m., Frankfurt time, on the day that is two Frankfurt Banking Days preceding that Reset Date.  If such rate does not appear on the Telerate Page 22000, the rate for that Reset Date will be determined as if the parties had specified "DEM-FIBOR-Reference Banks" as the applicable Floating Rate Option.</w:t>
      </w:r>
    </w:p>
    <w:p>
      <w:pPr>
        <w:pStyle w:val="Normal"/>
        <w:rPr/>
      </w:pPr>
      <w:r>
        <w:rPr/>
      </w:r>
    </w:p>
    <w:p>
      <w:pPr>
        <w:pStyle w:val="Normal"/>
        <w:ind w:firstLine="720" w:start="720" w:end="0"/>
        <w:rPr/>
      </w:pPr>
      <w:r>
        <w:rPr/>
        <w:t>(ix)</w:t>
        <w:tab/>
        <w:t>"DEM-FIBOR-Reference Banks" means that the rate for a Reset Date will be determined on the basis of the rates at which deposits in Deutsche Marks are offered by the Reference Banks (A) in the case of "DEM-FIBOR-ISDB", at approximately 12:00 noon, Frankfurt time, on that Reset Date, (B) in the case of "DEM-FIBOR-FIBO-OLD", at approximately 11:00 a.m., Frankfurt time, on that Reset Date or (C) in the case of any other DEM-FIBOR Floating Rate Option, at approximately 11:00 a.m., Frankfurt time, on the day that is two Frankfurt Banking Days preceding that Reset Date to prime banks in the Frankfurt interbank market for a period of the Designated Maturity commencing on that Reset Date and in a Representative Amount.  The Calculation Agent will request the principal Frankfurt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Frankfurt, selected by the Calculation Agent, (A) in the case of "DEM-FIBOR-ISDB", at approximately 12:00 noon, Frankfurt time, or (B) in the case of any other "DEM-FIBOR" Floating Rate Option, at approximately 11:00 a.m., Frankfurt time, on that Reset Date for loans in Deutsche Marks to leading European banks for a period of the Designated Maturity commencing on that Reset Date and in a Representative Amount.</w:t>
      </w:r>
    </w:p>
    <w:p>
      <w:pPr>
        <w:pStyle w:val="Normal"/>
        <w:rPr/>
      </w:pPr>
      <w:r>
        <w:rPr/>
      </w:r>
    </w:p>
    <w:p>
      <w:pPr>
        <w:pStyle w:val="Normal"/>
        <w:ind w:firstLine="720" w:start="720" w:end="0"/>
        <w:rPr/>
      </w:pPr>
      <w:r>
        <w:rPr/>
        <w:t>(x)</w:t>
        <w:tab/>
        <w:t>"DEM-FIONA-OIS-COMPOUND" means that the rate for a Reset Date, calculated in accordance with the formula set forth below in this clause, will be the rate of return of a daily compound interest investment, renewed on each Compounding Date over the preceding Compounding Period (it being understood that the reference rate for the calculation of interest is the German daily overnight reference rate).</w:t>
      </w:r>
    </w:p>
    <w:p>
      <w:pPr>
        <w:pStyle w:val="Normal"/>
        <w:rPr/>
      </w:pPr>
      <w:r>
        <w:rPr/>
      </w:r>
    </w:p>
    <w:p>
      <w:pPr>
        <w:pStyle w:val="Normal"/>
        <w:ind w:firstLine="720" w:start="720" w:end="0"/>
        <w:rPr/>
      </w:pPr>
      <w:r>
        <w:rPr/>
        <w:t>"DEM-FIONA-OIS-COMPOUND" shall be calculated as follows:</w:t>
      </w:r>
    </w:p>
    <w:p>
      <w:pPr>
        <w:pStyle w:val="Normal"/>
        <w:rPr/>
      </w:pPr>
      <w:r>
        <w:rPr/>
      </w:r>
    </w:p>
    <w:p>
      <w:pPr>
        <w:pStyle w:val="Normal"/>
        <w:ind w:firstLine="720" w:end="0"/>
        <w:jc w:val="center"/>
        <w:rPr>
          <w:sz w:val="20"/>
        </w:rPr>
      </w:pPr>
      <w:r>
        <w:rPr>
          <w:sz w:val="20"/>
        </w:rPr>
      </w:r>
      <m:oMathPara xmlns:m="http://schemas.openxmlformats.org/officeDocument/2006/math">
        <m:oMathParaPr>
          <m:jc m:val="center"/>
        </m:oMathParaPr>
        <m:oMath>
          <m:d>
            <m:dPr>
              <m:begChr m:val="["/>
              <m:endChr m:val="]"/>
            </m:dPr>
            <m:e>
              <m:nary>
                <m:naryPr>
                  <m:chr m:val="∏"/>
                </m:naryPr>
                <m:sub>
                  <m:r>
                    <m:rPr>
                      <m:lit/>
                      <m:nor/>
                    </m:rPr>
                    <m:t xml:space="preserve">i=1</m:t>
                  </m:r>
                </m:sub>
                <m:sup>
                  <m:r>
                    <m:t xml:space="preserve">d</m:t>
                  </m:r>
                  <m:r>
                    <m:t xml:space="preserve">o</m:t>
                  </m:r>
                </m:sup>
                <m:e>
                  <m:d>
                    <m:dPr>
                      <m:begChr m:val="("/>
                      <m:endChr m:val=")"/>
                    </m:dPr>
                    <m:e>
                      <m:r>
                        <m:t xml:space="preserve">1</m:t>
                      </m:r>
                      <m:r>
                        <m:t xml:space="preserve">+</m:t>
                      </m:r>
                      <m:f>
                        <m:num>
                          <m:r>
                            <m:rPr>
                              <m:lit/>
                              <m:nor/>
                            </m:rPr>
                            <m:t xml:space="preserve">FIONA</m:t>
                          </m:r>
                          <m:r>
                            <m:t xml:space="preserve">i</m:t>
                          </m:r>
                          <m:r>
                            <m:t xml:space="preserve">×</m:t>
                          </m:r>
                          <m:r>
                            <m:t xml:space="preserve">n</m:t>
                          </m:r>
                          <m:r>
                            <m:t xml:space="preserve">i</m:t>
                          </m:r>
                        </m:num>
                        <m:den>
                          <m:r>
                            <m:rPr>
                              <m:lit/>
                              <m:nor/>
                            </m:rPr>
                            <m:t xml:space="preserve">360</m:t>
                          </m:r>
                        </m:den>
                      </m:f>
                    </m:e>
                  </m:d>
                </m:e>
              </m:nary>
              <m:r>
                <m:t xml:space="preserve">−</m:t>
              </m:r>
              <m:r>
                <m:t xml:space="preserve">1</m:t>
              </m:r>
            </m:e>
          </m:d>
          <m:f>
            <m:num>
              <m:r>
                <m:rPr>
                  <m:lit/>
                  <m:nor/>
                </m:rPr>
                <m:t xml:space="preserve">360</m:t>
              </m:r>
            </m:num>
            <m:den>
              <m:r>
                <m:t xml:space="preserve">d</m:t>
              </m:r>
            </m:den>
          </m:f>
        </m:oMath>
      </m:oMathPara>
    </w:p>
    <w:p>
      <w:pPr>
        <w:pStyle w:val="Normal"/>
        <w:rPr/>
      </w:pPr>
      <w:r>
        <w:rPr/>
      </w:r>
    </w:p>
    <w:p>
      <w:pPr>
        <w:pStyle w:val="Normal"/>
        <w:ind w:firstLine="720" w:start="720" w:end="0"/>
        <w:rPr/>
      </w:pPr>
      <w:r>
        <w:rPr/>
        <w:t>where:</w:t>
      </w:r>
    </w:p>
    <w:p>
      <w:pPr>
        <w:pStyle w:val="Normal"/>
        <w:ind w:start="720" w:end="0"/>
        <w:rPr/>
      </w:pPr>
      <w:r>
        <w:rPr/>
      </w:r>
    </w:p>
    <w:p>
      <w:pPr>
        <w:pStyle w:val="Normal"/>
        <w:ind w:firstLine="720" w:start="1440" w:end="0"/>
        <w:rPr/>
      </w:pPr>
      <w:r>
        <w:rPr/>
        <w:t>"d</w:t>
      </w:r>
      <w:r>
        <w:rPr>
          <w:vertAlign w:val="subscript"/>
        </w:rPr>
        <w:t>o</w:t>
      </w:r>
      <w:r>
        <w:rPr/>
        <w:t>", for any Calculation Period, is the number of Frankfurt Banking Days in the relevant Calculation Period;</w:t>
      </w:r>
    </w:p>
    <w:p>
      <w:pPr>
        <w:pStyle w:val="Normal"/>
        <w:ind w:start="1440" w:end="0"/>
        <w:rPr/>
      </w:pPr>
      <w:r>
        <w:rPr/>
      </w:r>
    </w:p>
    <w:p>
      <w:pPr>
        <w:pStyle w:val="Normal"/>
        <w:ind w:firstLine="720" w:start="1440" w:end="0"/>
        <w:rPr/>
      </w:pPr>
      <w:r>
        <w:rPr/>
        <w:t>"i", is a series of whole numbers from one to d</w:t>
      </w:r>
      <w:r>
        <w:rPr>
          <w:vertAlign w:val="subscript"/>
        </w:rPr>
        <w:t>o</w:t>
      </w:r>
      <w:r>
        <w:rPr/>
        <w:t>, each representing the relevant Frankfurt Banking Days in chronological order from and including the first such day in the relevant Calculation Period;</w:t>
      </w:r>
    </w:p>
    <w:p>
      <w:pPr>
        <w:pStyle w:val="Normal"/>
        <w:ind w:start="1440" w:end="0"/>
        <w:rPr/>
      </w:pPr>
      <w:r>
        <w:rPr/>
      </w:r>
    </w:p>
    <w:p>
      <w:pPr>
        <w:pStyle w:val="Normal"/>
        <w:ind w:firstLine="720" w:start="1440" w:end="0"/>
        <w:rPr/>
      </w:pPr>
      <w:r>
        <w:rPr/>
        <w:t>"FIONA</w:t>
      </w:r>
      <w:r>
        <w:rPr>
          <w:vertAlign w:val="subscript"/>
        </w:rPr>
        <w:t>i</w:t>
      </w:r>
      <w:r>
        <w:rPr/>
        <w:t>", for any day "i" in the relevant Calculation Period is a reference rate equal to the overnight rate as calculated by the German Banking Association and appearing on the Telerate Page 22000 under the heading "today" and opposite the heading "o/n"</w:t>
      </w:r>
      <w:r>
        <w:rPr>
          <w:b/>
          <w:i/>
        </w:rPr>
        <w:t xml:space="preserve"> </w:t>
      </w:r>
      <w:r>
        <w:rPr/>
        <w:t>in respect of that day;</w:t>
      </w:r>
    </w:p>
    <w:p>
      <w:pPr>
        <w:pStyle w:val="Normal"/>
        <w:ind w:start="1440" w:end="0"/>
        <w:rPr/>
      </w:pPr>
      <w:r>
        <w:rPr/>
      </w:r>
    </w:p>
    <w:p>
      <w:pPr>
        <w:pStyle w:val="Normal"/>
        <w:ind w:firstLine="720" w:start="1440" w:end="0"/>
        <w:rPr/>
      </w:pPr>
      <w:r>
        <w:rPr/>
        <w:t>"n</w:t>
      </w:r>
      <w:r>
        <w:rPr>
          <w:vertAlign w:val="subscript"/>
        </w:rPr>
        <w:t>i</w:t>
      </w:r>
      <w:r>
        <w:rPr/>
        <w:t>", is the number of days on which the rate is "FIONA</w:t>
      </w:r>
      <w:r>
        <w:rPr>
          <w:vertAlign w:val="subscript"/>
        </w:rPr>
        <w:t>i</w:t>
      </w:r>
      <w:r>
        <w:rPr/>
        <w:t>"; and</w:t>
      </w:r>
    </w:p>
    <w:p>
      <w:pPr>
        <w:pStyle w:val="Normal"/>
        <w:ind w:start="1440" w:end="0"/>
        <w:rPr/>
      </w:pPr>
      <w:r>
        <w:rPr/>
      </w:r>
    </w:p>
    <w:p>
      <w:pPr>
        <w:pStyle w:val="Normal"/>
        <w:ind w:firstLine="720" w:start="1440" w:end="0"/>
        <w:rPr/>
      </w:pPr>
      <w:r>
        <w:rPr/>
        <w:t xml:space="preserve">"d", is the number of days in the Calculation Period.  </w:t>
      </w:r>
    </w:p>
    <w:p>
      <w:pPr>
        <w:pStyle w:val="Normal"/>
        <w:ind w:start="720" w:end="0"/>
        <w:rPr/>
      </w:pPr>
      <w:r>
        <w:rPr/>
      </w:r>
    </w:p>
    <w:p>
      <w:pPr>
        <w:pStyle w:val="Normal"/>
        <w:ind w:firstLine="720" w:start="720" w:end="0"/>
        <w:rPr/>
      </w:pPr>
      <w:r>
        <w:rPr/>
        <w:t>(xi)</w:t>
        <w:tab/>
        <w:t>"DEM-Annual Swap Rate" means that the rate for a Reset Date will be the annual swap rate for Deutsche Mark swap transactions with a maturity of the Designated Maturity, expressed as a percentage, which appears on the Telerate Page 42280 under the heading "MEAN" as of 11:00 a.m., London time, on the day that is two London Banking Days preceding that Reset Date. If such rate does not appear on the Telerate Page 42280, the rate for that Reset Date will be determined as if the parties had specified "DEM</w:t>
        <w:noBreakHyphen/>
        <w:t xml:space="preserve">Annual Swap Rate-Reference Banks" as the applicable Floating Rate Option. </w:t>
      </w:r>
    </w:p>
    <w:p>
      <w:pPr>
        <w:pStyle w:val="Normal"/>
        <w:rPr/>
      </w:pPr>
      <w:r>
        <w:rPr/>
      </w:r>
    </w:p>
    <w:p>
      <w:pPr>
        <w:pStyle w:val="Normal"/>
        <w:ind w:firstLine="720" w:start="720" w:end="0"/>
        <w:rPr>
          <w:b/>
          <w:i/>
          <w:i/>
        </w:rPr>
      </w:pPr>
      <w:r>
        <w:rPr/>
        <w:t>(xii)</w:t>
        <w:tab/>
        <w:t>"DEM-ISDA-Swap Rate" means that the rate for a Reset Date will be the annual swap rate for Deutsche Mark swaps with a maturity of the Designated Maturity, expressed as a percentage, which appears on the Reuters Screen ISDAFIX1 Page as of 11:00 a.m., London time, on the day that is two London Banking Days preceding that Reset Date.  If such rate does not appear on the Reuters Screen ISDAFIX1 Page, the rate for that Reset Date will be determined as if the parties had specified "DEM-Annual Swap Rate-Reference Banks" as the applicable Floating Rate Option.</w:t>
      </w:r>
    </w:p>
    <w:p>
      <w:pPr>
        <w:pStyle w:val="Normal"/>
        <w:rPr>
          <w:b/>
          <w:i/>
          <w:i/>
        </w:rPr>
      </w:pPr>
      <w:r>
        <w:rPr>
          <w:b/>
          <w:i/>
        </w:rPr>
      </w:r>
    </w:p>
    <w:p>
      <w:pPr>
        <w:pStyle w:val="Normal"/>
        <w:ind w:firstLine="720" w:start="720" w:end="0"/>
        <w:rPr/>
      </w:pPr>
      <w:r>
        <w:rPr/>
        <w:t>(xiii)</w:t>
        <w:tab/>
        <w:t>"DEM-Annual Swap Rate-Reference Banks" means that the rate for a Reset Date will be a percentage determined on the basis of the mid-market annual swap rate quotations provided by the Reference Banks at approximately 11:00 a.m., London time, on the day that is two London Banking Days preceding that Reset Date, and, for this purpose, the mid-market annual swap rate means the mean of the bid and offered rates for the annual fixed leg of a fixed-for-floating Deutsche Mark interest rate swap transaction with a term equal to the Designated Maturity commencing on that Reset Date and in a Representative Amount with an acknowledged dealer of good credit in the swap market, where the floating leg is equivalent to: (A) if the Designated Maturity is greater than one year, DEM-LIBOR-BBA with a Designated Maturity of six months; or (B) if the Designated Maturity is one year or less, DEM-LIBOR-BBA with a Designated Maturity of three months, in each case on a 30/360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ind w:start="720" w:end="0"/>
        <w:rPr/>
      </w:pPr>
      <w:r>
        <w:rPr/>
      </w:r>
    </w:p>
    <w:p>
      <w:pPr>
        <w:pStyle w:val="Normal"/>
        <w:keepNext w:val="true"/>
        <w:ind w:start="720" w:end="0"/>
        <w:rPr>
          <w:b/>
          <w:i/>
          <w:i/>
        </w:rPr>
      </w:pPr>
      <w:r>
        <w:rPr>
          <w:b/>
          <w:i/>
        </w:rPr>
        <w:t>(d)</w:t>
        <w:tab/>
        <w:t>Dutch Guilder.</w:t>
      </w:r>
    </w:p>
    <w:p>
      <w:pPr>
        <w:pStyle w:val="Normal"/>
        <w:keepNext w:val="true"/>
        <w:ind w:hanging="720" w:start="720" w:end="0"/>
        <w:rPr>
          <w:b/>
          <w:i/>
          <w:i/>
        </w:rPr>
      </w:pPr>
      <w:r>
        <w:rPr>
          <w:b/>
          <w:i/>
        </w:rPr>
      </w:r>
    </w:p>
    <w:p>
      <w:pPr>
        <w:pStyle w:val="Normal"/>
        <w:ind w:firstLine="720" w:start="720" w:end="0"/>
        <w:rPr/>
      </w:pPr>
      <w:r>
        <w:rPr/>
        <w:t>(i)</w:t>
        <w:tab/>
        <w:t>"NLG-AIBOR-ISDB" means that the rate for a Reset Date will be the rate for deposits in Dutch Guilders for a period of the Designated Maturity which appears on the Reuters Screen ISDB Page as of 11:00 a.m., Amsterdam time, on the day that is two Amsterdam Banking Days preceding that Reset Date.  If such rate does not appear on the Reuters Screen ISDB Page, the rate for that Reset Date will be determined as if the parties had specified "NLG-AIBOR-Reference Banks" as the applicable Floating Rate Option.</w:t>
      </w:r>
    </w:p>
    <w:p>
      <w:pPr>
        <w:pStyle w:val="Normal"/>
        <w:ind w:hanging="720" w:start="720" w:end="0"/>
        <w:rPr/>
      </w:pPr>
      <w:r>
        <w:rPr/>
      </w:r>
    </w:p>
    <w:p>
      <w:pPr>
        <w:pStyle w:val="Normal"/>
        <w:ind w:firstLine="720" w:start="720" w:end="0"/>
        <w:rPr/>
      </w:pPr>
      <w:r>
        <w:rPr/>
        <w:t>(ii)</w:t>
        <w:tab/>
        <w:t>"NLG-AIBOR-AIBO-DOM" means that the rate for a Reset Date will be the rate for deposits in Dutch Guilders for a period of the Designated Maturity which appears on the Reuters Screen AIBO Page in the "domestic AIBO" column as of 11:00 a.m., Amsterdam time, on that Reset Date.  If such rate does not appear on the Reuters Screen AIBO Page, the rate for that Reset Date will be determined as if the parties had specified "NLG-AIBOR-Reference Banks" as the applicable Floating Rate Option.</w:t>
      </w:r>
    </w:p>
    <w:p>
      <w:pPr>
        <w:pStyle w:val="Normal"/>
        <w:rPr/>
      </w:pPr>
      <w:r>
        <w:rPr/>
      </w:r>
    </w:p>
    <w:p>
      <w:pPr>
        <w:pStyle w:val="Normal"/>
        <w:ind w:firstLine="720" w:start="720" w:end="0"/>
        <w:rPr/>
      </w:pPr>
      <w:r>
        <w:rPr/>
        <w:t>(iii)</w:t>
        <w:tab/>
        <w:t>"NLG-AIBOR-AIBO-EURO" means that the rate for a Reset Date will be the rate for deposits in Dutch Guilders for a period of the Designated Maturity which appears on the Reuters Screen AIBO Page in the "Euro AIBO" column as of 11:00 a.m., Amsterdam time, on the day that is two Amsterdam Banking Days preceding that Reset Date.  If such rate does not appear on the Reuters Screen AIBO Page, the rate for that Reset Date will be determined as if the parties had specified "NLG-AIBOR-Reference Banks" as the applicable Floating Rate Option.</w:t>
      </w:r>
    </w:p>
    <w:p>
      <w:pPr>
        <w:pStyle w:val="Normal"/>
        <w:rPr/>
      </w:pPr>
      <w:r>
        <w:rPr/>
      </w:r>
    </w:p>
    <w:p>
      <w:pPr>
        <w:pStyle w:val="Normal"/>
        <w:ind w:firstLine="720" w:start="720" w:end="0"/>
        <w:rPr/>
      </w:pPr>
      <w:r>
        <w:rPr/>
        <w:t>(iv)</w:t>
        <w:tab/>
        <w:t>"NLG-AIBOR-Reference Banks" means that the rate for a Reset Date will be determined on the basis of the rates at which deposits in Dutch Guilders are offered by the Reference Banks at approximately 11:00 a.m., Amsterdam time, (A) on the day that is two Amsterdam Banking Days preceding the Reset Date, if the rate being determined pursuant to this clause (iv) is for Euro AIBO or a rate is being determined pursuant to this clause (iv) because a rate for "NLG-AIBOR-ISDB" did not appear on the Reuters Screen ISDB Page, or (B) on that Reset Date, if the rate being determined pursuant to this clause (iv) is for domestic AIBO, to prime banks in the Amsterdam interbank market for a period of the Designated Maturity commencing on that Reset Date and in a Representative Amount.  The Calculation Agent will request the principal Amsterdam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Amsterdam, selected by the Calculation Agent, at approximately 11:00 a.m., Amsterdam time, on that Reset Date for loans in Dutch Guilders to leading European banks for a period of the Designated Maturity commencing on that Reset Date and in a Representative Amount.</w:t>
      </w:r>
    </w:p>
    <w:p>
      <w:pPr>
        <w:pStyle w:val="Normal"/>
        <w:rPr/>
      </w:pPr>
      <w:r>
        <w:rPr/>
      </w:r>
    </w:p>
    <w:p>
      <w:pPr>
        <w:pStyle w:val="Normal"/>
        <w:keepNext w:val="true"/>
        <w:ind w:start="720" w:end="0"/>
        <w:rPr>
          <w:b/>
          <w:i/>
          <w:i/>
        </w:rPr>
      </w:pPr>
      <w:r>
        <w:rPr>
          <w:b/>
          <w:i/>
        </w:rPr>
        <w:t>(e)</w:t>
        <w:tab/>
        <w:t>Finnish Markka.</w:t>
      </w:r>
    </w:p>
    <w:p>
      <w:pPr>
        <w:pStyle w:val="Normal"/>
        <w:keepNext w:val="true"/>
        <w:ind w:hanging="720" w:start="720" w:end="0"/>
        <w:rPr>
          <w:b/>
          <w:i/>
          <w:i/>
        </w:rPr>
      </w:pPr>
      <w:r>
        <w:rPr>
          <w:b/>
          <w:i/>
        </w:rPr>
      </w:r>
    </w:p>
    <w:p>
      <w:pPr>
        <w:pStyle w:val="Normal"/>
        <w:ind w:firstLine="720" w:start="720" w:end="0"/>
        <w:rPr/>
      </w:pPr>
      <w:r>
        <w:rPr/>
        <w:t>(i)</w:t>
        <w:tab/>
        <w:t>"FIM-HELIBOR-SPFB" means that the rate for a Reset Date will be the rate for deposits in Finnish Markkas for a period of the Designated Maturity which appears on the Reuters Screen SPFB Page under the caption "HELIBOR" as of 1:00 p.m., Helsinki time, on the day that is two Helsinki Banking Days preceding that Reset Date.  If such rate does not appear on the Reuters Screen SPFB Page, the rate for that Reset Date will be determined as if the parties had specified "FIM-HELIBOR-Reference Banks" as the applicable Floating Rate Option.</w:t>
      </w:r>
    </w:p>
    <w:p>
      <w:pPr>
        <w:pStyle w:val="Normal"/>
        <w:rPr/>
      </w:pPr>
      <w:r>
        <w:rPr/>
      </w:r>
    </w:p>
    <w:p>
      <w:pPr>
        <w:pStyle w:val="Normal"/>
        <w:ind w:firstLine="720" w:start="720" w:end="0"/>
        <w:rPr/>
      </w:pPr>
      <w:r>
        <w:rPr/>
        <w:t>(ii)</w:t>
        <w:tab/>
        <w:t>"FIM-HELIBOR-FINBA" means that the rate for a Reset Date will be the rate for deposits in Finish Markkas for a period of the Designated Maturity which appears on the Reuters Screen FINBA Page as of 1:00 p.m., Helsinki time, on the day that is two Helsinki Banking Days preceding that Reset Date.  If such rate does not appear on the Reuters Screen FINBA Page, the Rate for that Reset Date will be determined as if the parties had specified "FIM-HELIBOR-Reference Banks" as the applicable Floating Rate Option.</w:t>
      </w:r>
    </w:p>
    <w:p>
      <w:pPr>
        <w:pStyle w:val="Normal"/>
        <w:rPr/>
      </w:pPr>
      <w:r>
        <w:rPr/>
      </w:r>
    </w:p>
    <w:p>
      <w:pPr>
        <w:pStyle w:val="Normal"/>
        <w:ind w:firstLine="720" w:start="720" w:end="0"/>
        <w:rPr/>
      </w:pPr>
      <w:r>
        <w:rPr/>
        <w:t>(iii)</w:t>
        <w:tab/>
        <w:t>"FIM-HELIBOR-Reference Banks" means that the rate for a Reset Date will be determined on the basis of the rates at which deposits in Finnish Markkas are offered by the Reference Banks at approximately 1:00 p.m., Helsinki time, on the day that is two Helsinki Banking Days preceding that Reset Date to prime banks in the Helsinki interbank market for a period of the Designated Maturity commencing on that Reset Date and in a Representative Amount.  The Calculation Agent will request the principal Helsinki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Helsinki, selected by the Calculation Agent, at approximately 1:00 p.m., Helsinki time, on that Reset Date for loans in Finnish Markkas to leading European banks for a period of the Designated Maturity commencing on that Reset Date and in a Representative Amount.</w:t>
      </w:r>
    </w:p>
    <w:p>
      <w:pPr>
        <w:pStyle w:val="Normal"/>
        <w:rPr/>
      </w:pPr>
      <w:r>
        <w:rPr/>
      </w:r>
    </w:p>
    <w:p>
      <w:pPr>
        <w:pStyle w:val="Normal"/>
        <w:keepNext w:val="true"/>
        <w:ind w:start="720" w:end="0"/>
        <w:rPr>
          <w:b/>
          <w:i/>
          <w:i/>
        </w:rPr>
      </w:pPr>
      <w:r>
        <w:rPr>
          <w:b/>
          <w:i/>
        </w:rPr>
        <w:t>(f)</w:t>
        <w:tab/>
        <w:t>French Franc.</w:t>
      </w:r>
    </w:p>
    <w:p>
      <w:pPr>
        <w:pStyle w:val="Normal"/>
        <w:keepNext w:val="true"/>
        <w:ind w:hanging="720" w:start="720" w:end="0"/>
        <w:rPr>
          <w:b/>
          <w:i/>
          <w:i/>
        </w:rPr>
      </w:pPr>
      <w:r>
        <w:rPr>
          <w:b/>
          <w:i/>
        </w:rPr>
      </w:r>
    </w:p>
    <w:p>
      <w:pPr>
        <w:pStyle w:val="Normal"/>
        <w:ind w:firstLine="720" w:start="720" w:end="0"/>
        <w:rPr/>
      </w:pPr>
      <w:r>
        <w:rPr/>
        <w:t>(i)</w:t>
        <w:tab/>
        <w:t>"FRF-PIBOR-PIBO" means that the rate for a Reset Date will be the rate for deposits in French Francs for a period of the Designated Maturity which appears on the Reuters Screen PIBO Page as of 11:00 a.m., Paris time, on the day that is one Paris Banking Day preceding that Reset Date.  If such rate does not appear on the Reuters Screen PIBO Page, the rate for that Reset Date will be determined as if the parties had specified "FRF-PIBOR-Reference Banks" as the applicable Floating Rate Option.</w:t>
      </w:r>
    </w:p>
    <w:p>
      <w:pPr>
        <w:pStyle w:val="Normal"/>
        <w:rPr/>
      </w:pPr>
      <w:r>
        <w:rPr/>
      </w:r>
    </w:p>
    <w:p>
      <w:pPr>
        <w:pStyle w:val="Normal"/>
        <w:ind w:firstLine="720" w:start="720" w:end="0"/>
        <w:rPr/>
      </w:pPr>
      <w:r>
        <w:rPr/>
        <w:t>(ii)</w:t>
        <w:tab/>
        <w:t>"FRF-PIBOR-AFB" means that the rate for a Reset Date will be the rate for deposits in French Francs for a period of the Designated Maturity which appears on the Telerate Page 20041 as of 11:00 a.m., Paris time, on the day that is one Paris Banking Day preceding that Reset Date.  If such rate does not appear on the Telerate Page 20041, the rate for that Reset Date will be determined as if the parties had specified "FRF-PIBOR-Reference Banks" as the applicable Floating Rate Option.</w:t>
      </w:r>
    </w:p>
    <w:p>
      <w:pPr>
        <w:pStyle w:val="Normal"/>
        <w:rPr/>
      </w:pPr>
      <w:r>
        <w:rPr/>
      </w:r>
    </w:p>
    <w:p>
      <w:pPr>
        <w:pStyle w:val="Normal"/>
        <w:ind w:firstLine="720" w:start="720" w:end="0"/>
        <w:rPr/>
      </w:pPr>
      <w:r>
        <w:rPr/>
        <w:t>(iii)</w:t>
        <w:tab/>
        <w:t>"FRF-PIBOR2-AFB" means that the rate for a Reset Date will be the rate for deposits in French Francs for a period of the Designated Maturity which appears on the Telerate Page 20041 as of 11:00 a.m., Paris time, on the day that is two Paris Banking Days preceding that Reset Date.  If such rate does not appear on the Telerate Page 20041 the rate for that Reset Date will be determined as if the parties had specified "FRF-PIBOR-Reference Banks" as the applicable Floating Rate Option.</w:t>
      </w:r>
    </w:p>
    <w:p>
      <w:pPr>
        <w:pStyle w:val="Normal"/>
        <w:rPr/>
      </w:pPr>
      <w:r>
        <w:rPr/>
      </w:r>
    </w:p>
    <w:p>
      <w:pPr>
        <w:pStyle w:val="Normal"/>
        <w:ind w:firstLine="720" w:start="720" w:end="0"/>
        <w:rPr/>
      </w:pPr>
      <w:r>
        <w:rPr/>
        <w:t>(iv)</w:t>
        <w:tab/>
        <w:t>"FRF-PIBOR-Reference Banks" means that the rate for a Reset Date will be determined on the basis of the rates at which deposits in French Francs are offered by the Reference Banks (A) in the case of  "FRF-PIBOR-PIBO" and "FRF-PIBOR-AFB", at approximately 11:00 a.m., Paris time, on the day that is one Paris Banking Day preceding that Reset Date and (B) in the case of "FRF-PIBOR2-AFB", at approximately 11:00 a.m., Paris time, on the day that is two Paris Banking Days preceding that Reset Date, to prime banks in the Paris interbank market for a period of the Designated Maturity commencing on that Reset Date and in a Representative Amount.  The Calculation Agent will request the principal Paris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Paris, selected by the Calculation Agent, at approximately 11.00 a.m., Paris time, on that Reset Date for loans in French Francs to leading European banks for a period of the Designated Maturity commencing on that Reset Date and in a Representative Amount.</w:t>
      </w:r>
    </w:p>
    <w:p>
      <w:pPr>
        <w:pStyle w:val="Normal"/>
        <w:rPr/>
      </w:pPr>
      <w:r>
        <w:rPr/>
      </w:r>
    </w:p>
    <w:p>
      <w:pPr>
        <w:pStyle w:val="Normal"/>
        <w:ind w:firstLine="720" w:start="720" w:end="0"/>
        <w:rPr/>
      </w:pPr>
      <w:r>
        <w:rPr/>
        <w:t>(v)</w:t>
        <w:tab/>
        <w:t>"FRF-LIBOR-BBA" means that the rate for a Reset Date will be the rate for deposits in French Francs for a period of the Designated Maturity which appears on the Telerate Page 3740 as of 11:00 a.m., London time, on the day that is two London Banking Days preceding that Reset Date.  If such rate does not appear on the Telerate Page 3740, the rate for that Reset Date will be determined as if the parties had specified "FRF-LIBOR-Reference Banks" as the applicable Floating Rate Option.</w:t>
      </w:r>
    </w:p>
    <w:p>
      <w:pPr>
        <w:pStyle w:val="Normal"/>
        <w:rPr/>
      </w:pPr>
      <w:r>
        <w:rPr/>
      </w:r>
    </w:p>
    <w:p>
      <w:pPr>
        <w:pStyle w:val="Normal"/>
        <w:ind w:firstLine="720" w:start="720" w:end="0"/>
        <w:rPr/>
      </w:pPr>
      <w:r>
        <w:rPr/>
        <w:t>(vi)</w:t>
        <w:tab/>
        <w:t>"FRF-LIBOR-Reference Banks" means that the rate for a Reset Date will be determined on the basis of the rates at which deposits in French Francs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Paris, selected by the Calculation Agent, at approximately 11:00 a.m., Paris time, on that Reset Date for loans in French Francs to leading European banks for a period of the Designated Maturity commencing on that Reset Date and in a Representative Amount.</w:t>
      </w:r>
    </w:p>
    <w:p>
      <w:pPr>
        <w:pStyle w:val="Normal"/>
        <w:rPr/>
      </w:pPr>
      <w:r>
        <w:rPr/>
      </w:r>
    </w:p>
    <w:p>
      <w:pPr>
        <w:pStyle w:val="Normal"/>
        <w:ind w:firstLine="720" w:start="720" w:end="0"/>
        <w:rPr/>
      </w:pPr>
      <w:r>
        <w:rPr/>
        <w:t>(vii)</w:t>
        <w:tab/>
        <w:t>"FRF-TAM-CDC" means that the rate for a Reset Date will be the rate of return of a monthly compound interest investment, renewed at the end of each month, over the preceding 12-month period (it being understood that the reference rate for the calculation of interest is the average monthly rate of the day-to-day French interbank money market, adjusted to take into account the exact number of days in the various months concerned in the applicable 12-month period), as calculated by Caisse des Dépôts et Consignations and appearing on the Reuters Screen CDCINDEX1 Page opposite the heading "T.A.M." on that Reset Date.  If such rate is not available from such source, then the rate for such Reset Date will be determined as if the parties had specified "FRF-TMM-CDC-COMPOUND" as the applicable Floating Rate Option.  Meanings for certain terms relevant to this Floating Rate Option shall be as specified in Exhibit III to the 1991 ISDA Definitions.</w:t>
      </w:r>
    </w:p>
    <w:p>
      <w:pPr>
        <w:pStyle w:val="Normal"/>
        <w:rPr/>
      </w:pPr>
      <w:r>
        <w:rPr/>
      </w:r>
    </w:p>
    <w:p>
      <w:pPr>
        <w:pStyle w:val="Normal"/>
        <w:ind w:firstLine="720" w:start="720" w:end="0"/>
        <w:rPr/>
      </w:pPr>
      <w:r>
        <w:rPr/>
        <w:t>(viii)</w:t>
        <w:tab/>
        <w:t>"FRF-TMM-CDC-COMPOUND" means that the rate for a Reset Date, calculated in accordance with the formula set forth below in this clause, will be the rate of return of a monthly compound interest investment, renewed at the end of each month, over the preceding 12-month period (it being understood that the reference rate for the calculation of interest is the average monthly rate of the day-to-day French interbank money market, adjusted to take into account the exact number of days in the various months concerned in the applicable 12-month period, as calculated by the Banque de France for each of the relevant months and appearing on the Reuters Screen CDCINDEX1 Page opposite the heading "TMM" on the first Paris Banking Day of the month following each such relevant month).  As used in this clause (viii), "relevant months" means the month and year of each of the first 12 calendar months occurring in the applicable Calculation Period.  Meanings for certain terms relevant to this Floating Rate Option shall be as specified in Exhibit III to the 1991 ISDA Definitions.</w:t>
      </w:r>
    </w:p>
    <w:p>
      <w:pPr>
        <w:pStyle w:val="Normal"/>
        <w:rPr/>
      </w:pPr>
      <w:r>
        <w:rPr/>
      </w:r>
    </w:p>
    <w:p>
      <w:pPr>
        <w:pStyle w:val="Normal"/>
        <w:keepNext w:val="true"/>
        <w:ind w:firstLine="720" w:start="720" w:end="0"/>
        <w:rPr/>
      </w:pPr>
      <w:r>
        <w:rPr/>
        <w:t>"FRF-TMM-CDC-COMPOUND" will be calculated as follows:</w:t>
      </w:r>
    </w:p>
    <w:p>
      <w:pPr>
        <w:pStyle w:val="Normal"/>
        <w:keepNext w:val="true"/>
        <w:rPr/>
      </w:pPr>
      <w:r>
        <w:rPr/>
      </w:r>
    </w:p>
    <w:p>
      <w:pPr>
        <w:pStyle w:val="Normal"/>
        <w:ind w:firstLine="720" w:end="0"/>
        <w:jc w:val="center"/>
        <w:rPr>
          <w:sz w:val="36"/>
        </w:rPr>
      </w:pPr>
      <w:r>
        <w:rPr>
          <w:sz w:val="20"/>
        </w:rPr>
      </w:r>
      <m:oMathPara xmlns:m="http://schemas.openxmlformats.org/officeDocument/2006/math">
        <m:oMathParaPr>
          <m:jc m:val="center"/>
        </m:oMathParaPr>
        <m:oMath>
          <m:r>
            <m:t xml:space="preserve">1</m:t>
          </m:r>
          <m:r>
            <m:rPr>
              <m:lit/>
              <m:nor/>
            </m:rPr>
            <m:t xml:space="preserve">00 </m:t>
          </m:r>
          <m:r>
            <m:t xml:space="preserve">´</m:t>
          </m:r>
          <m:d>
            <m:dPr>
              <m:begChr m:val="["/>
              <m:endChr m:val="]"/>
            </m:dPr>
            <m:e>
              <m:nary>
                <m:naryPr>
                  <m:chr m:val="∏"/>
                </m:naryPr>
                <m:sub>
                  <m:r>
                    <m:t xml:space="preserve">i</m:t>
                  </m:r>
                  <m:r>
                    <m:t xml:space="preserve">=</m:t>
                  </m:r>
                  <m:r>
                    <m:t xml:space="preserve">1</m:t>
                  </m:r>
                </m:sub>
                <m:sup>
                  <m:r>
                    <m:rPr>
                      <m:lit/>
                      <m:nor/>
                    </m:rPr>
                    <m:t xml:space="preserve">12</m:t>
                  </m:r>
                </m:sup>
                <m:e>
                  <m:d>
                    <m:dPr>
                      <m:begChr m:val="("/>
                      <m:endChr m:val=")"/>
                    </m:dPr>
                    <m:e>
                      <m:r>
                        <m:t xml:space="preserve">1</m:t>
                      </m:r>
                      <m:r>
                        <m:t xml:space="preserve">+</m:t>
                      </m:r>
                      <m:d>
                        <m:dPr>
                          <m:begChr m:val="("/>
                          <m:endChr m:val=")"/>
                        </m:dPr>
                        <m:e>
                          <m:sSub>
                            <m:e>
                              <m:r>
                                <m:t xml:space="preserve">R</m:t>
                              </m:r>
                            </m:e>
                            <m:sub>
                              <m:r>
                                <m:t xml:space="preserve">i</m:t>
                              </m:r>
                            </m:sub>
                          </m:sSub>
                          <m:r>
                            <m:t xml:space="preserve">´</m:t>
                          </m:r>
                          <m:sSub>
                            <m:e>
                              <m:r>
                                <m:t xml:space="preserve">D</m:t>
                              </m:r>
                            </m:e>
                            <m:sub>
                              <m:r>
                                <m:t xml:space="preserve">i</m:t>
                              </m:r>
                            </m:sub>
                          </m:sSub>
                          <m:r>
                            <m:rPr>
                              <m:lit/>
                              <m:nor/>
                            </m:rPr>
                            <m:t xml:space="preserve">/36000</m:t>
                          </m:r>
                        </m:e>
                      </m:d>
                    </m:e>
                  </m:d>
                </m:e>
              </m:nary>
              <m:r>
                <m:t xml:space="preserve">−</m:t>
              </m:r>
              <m:r>
                <m:t xml:space="preserve">1</m:t>
              </m:r>
            </m:e>
          </m:d>
        </m:oMath>
      </m:oMathPara>
    </w:p>
    <w:p>
      <w:pPr>
        <w:pStyle w:val="Normal"/>
        <w:tabs>
          <w:tab w:val="clear" w:pos="720"/>
          <w:tab w:val="left" w:pos="3510" w:leader="none"/>
        </w:tabs>
        <w:jc w:val="start"/>
        <w:rPr>
          <w:sz w:val="16"/>
        </w:rPr>
      </w:pPr>
      <w:r>
        <w:rPr/>
        <w:tab/>
      </w:r>
    </w:p>
    <w:p>
      <w:pPr>
        <w:pStyle w:val="Normal"/>
        <w:ind w:firstLine="720" w:start="720" w:end="0"/>
        <w:jc w:val="start"/>
        <w:rPr/>
      </w:pPr>
      <w:r>
        <w:rPr/>
        <w:t>where:</w:t>
      </w:r>
    </w:p>
    <w:p>
      <w:pPr>
        <w:pStyle w:val="Normal"/>
        <w:jc w:val="start"/>
        <w:rPr/>
      </w:pPr>
      <w:r>
        <w:rPr/>
      </w:r>
    </w:p>
    <w:p>
      <w:pPr>
        <w:pStyle w:val="Normal"/>
        <w:ind w:firstLine="720" w:start="1440" w:end="0"/>
        <w:rPr/>
      </w:pPr>
      <w:r>
        <w:rPr/>
        <w:t>"R</w:t>
      </w:r>
      <w:r>
        <w:rPr>
          <w:vertAlign w:val="subscript"/>
        </w:rPr>
        <w:t>i</w:t>
      </w:r>
      <w:r>
        <w:rPr/>
        <w:t>", for any relevant month "i", is a reference rate equal to the arithmetic mean of the day-to-day French interbank money market for such relevant month, as calculated by the Banque de France and appearing on the Reuters Screen CDCINDEX1 Page opposite the heading "T.M.M." on the first Paris Banking Day of the month following such relevant month; if for any relevant month the reference rate is not available from such source, the reference rate for that relevant month will be the rate determined in accordance with the definition of "FRF-TMP-CDC-AVERAGE";</w:t>
      </w:r>
    </w:p>
    <w:p>
      <w:pPr>
        <w:pStyle w:val="Normal"/>
        <w:rPr/>
      </w:pPr>
      <w:r>
        <w:rPr/>
      </w:r>
    </w:p>
    <w:p>
      <w:pPr>
        <w:pStyle w:val="Normal"/>
        <w:ind w:firstLine="720" w:start="1440" w:end="0"/>
        <w:rPr/>
      </w:pPr>
      <w:r>
        <w:rPr/>
        <w:t>"D</w:t>
      </w:r>
      <w:r>
        <w:rPr>
          <w:vertAlign w:val="subscript"/>
        </w:rPr>
        <w:t>i</w:t>
      </w:r>
      <w:r>
        <w:rPr/>
        <w:t>", for any relevant month "i", is the actual number of days in that relevant month; and</w:t>
      </w:r>
    </w:p>
    <w:p>
      <w:pPr>
        <w:pStyle w:val="Normal"/>
        <w:ind w:start="720" w:end="0"/>
        <w:rPr/>
      </w:pPr>
      <w:r>
        <w:rPr/>
      </w:r>
    </w:p>
    <w:p>
      <w:pPr>
        <w:pStyle w:val="Normal"/>
        <w:ind w:firstLine="720" w:start="1440" w:end="0"/>
        <w:rPr/>
      </w:pPr>
      <w:r>
        <w:rPr/>
        <w:t>"i" is a series of whole numbers from one to 12 representing each of the relevant months in chronological order from and including the first month of any applicable Calculation Period.</w:t>
      </w:r>
    </w:p>
    <w:p>
      <w:pPr>
        <w:pStyle w:val="Normal"/>
        <w:ind w:start="720" w:end="0"/>
        <w:rPr/>
      </w:pPr>
      <w:r>
        <w:rPr/>
      </w:r>
    </w:p>
    <w:p>
      <w:pPr>
        <w:pStyle w:val="Normal"/>
        <w:ind w:firstLine="720" w:start="720" w:end="0"/>
        <w:rPr/>
      </w:pPr>
      <w:r>
        <w:rPr/>
        <w:t>(ix)</w:t>
        <w:tab/>
        <w:t>"FRF-FRTAG-CDC" means that the rate for a Reset Date will be the rate of return of a monthly compound interest investment, renewed on each Compounding Date over the preceding Compounding Period (it being understood that the reference rate for the calculation of interest is the average of the rate of the day-to-day French interbank money market, from and including a Compounding Date to but excluding the next succeeding Compounding Date, adjusted to take into account the actual number of days in such Compounding Period), as calculated by Association Française des Banques for a period of the Designated Maturity and appearing on the Reuters Screen FRTAG Page on that Reset Date.  If such rate does not appear on the Reuters Screen FRTAG Page, then the rate for such Reset Date will be determined as if the parties had specified "FRF-TAG-CDC-COMPOUND" as the applicable Floating Rate Option.  Meanings for certain terms relevant to this Floating Rate Option shall be as specified in Exhibit III to the 1991 ISDA Definitions.</w:t>
      </w:r>
    </w:p>
    <w:p>
      <w:pPr>
        <w:pStyle w:val="Normal"/>
        <w:rPr/>
      </w:pPr>
      <w:r>
        <w:rPr/>
      </w:r>
    </w:p>
    <w:p>
      <w:pPr>
        <w:pStyle w:val="Normal"/>
        <w:ind w:firstLine="720" w:start="720" w:end="0"/>
        <w:rPr/>
      </w:pPr>
      <w:r>
        <w:rPr/>
        <w:t>(x)</w:t>
        <w:tab/>
        <w:t>"FRF-TAG-CDC-COMPOUND" means that the rate for a Reset Date, calculated in accordance with the formula set forth below in this clause, will be the rate of return of a monthly compound interest investment, renewed on each Compounding Date over the preceding Compounding Period (it being understood that the reference rate for the calculation of interest is the average of the rate of the day-to-day French interbank money market, from and including a Compounding Date to but excluding the next succeeding Compounding Date, adjusted to take into account the actual number of days in such Compounding Period).  Meanings for certain terms relevant to this Floating Rate Option shall be as specified in Exhibit III to the 1991 ISDA Definitions.</w:t>
      </w:r>
    </w:p>
    <w:p>
      <w:pPr>
        <w:pStyle w:val="Normal"/>
        <w:rPr/>
      </w:pPr>
      <w:r>
        <w:rPr/>
      </w:r>
    </w:p>
    <w:p>
      <w:pPr>
        <w:pStyle w:val="Normal"/>
        <w:keepNext w:val="true"/>
        <w:ind w:firstLine="720" w:start="720" w:end="0"/>
        <w:rPr/>
      </w:pPr>
      <w:r>
        <w:rPr/>
        <w:t>"FRF-TAG-CDC-COMPOUND" shall be calculated as follows:</w:t>
      </w:r>
    </w:p>
    <w:p>
      <w:pPr>
        <w:pStyle w:val="Normal"/>
        <w:keepNext w:val="true"/>
        <w:rPr/>
      </w:pPr>
      <w:r>
        <w:rPr/>
      </w:r>
    </w:p>
    <w:p>
      <w:pPr>
        <w:pStyle w:val="Normal"/>
        <w:ind w:firstLine="392" w:start="2160" w:end="0"/>
        <w:rPr>
          <w:i/>
          <w:i/>
        </w:rPr>
      </w:pPr>
      <w:r>
        <w:rPr>
          <w:i/>
        </w:rPr>
        <w:t xml:space="preserve">DC </w:t>
      </w:r>
      <w:r>
        <w:rPr>
          <w:sz w:val="20"/>
        </w:rPr>
      </w:r>
      <m:oMath xmlns:m="http://schemas.openxmlformats.org/officeDocument/2006/math">
        <m:r>
          <m:t xml:space="preserve">´</m:t>
        </m:r>
      </m:oMath>
      <w:r>
        <w:rPr>
          <w:i/>
        </w:rPr>
        <w:t xml:space="preserve"> </w:t>
      </w:r>
      <w:r>
        <w:rPr>
          <w:i/>
          <w:sz w:val="20"/>
        </w:rPr>
      </w:r>
      <m:oMath xmlns:m="http://schemas.openxmlformats.org/officeDocument/2006/math">
        <m:d>
          <m:dPr>
            <m:begChr m:val="["/>
            <m:endChr m:val="]"/>
          </m:dPr>
          <m:e>
            <m:nary>
              <m:naryPr>
                <m:chr m:val="∏"/>
              </m:naryPr>
              <m:sub>
                <m:r>
                  <m:t xml:space="preserve">i</m:t>
                </m:r>
                <m:r>
                  <m:t xml:space="preserve">=</m:t>
                </m:r>
                <m:r>
                  <m:t xml:space="preserve">1</m:t>
                </m:r>
              </m:sub>
              <m:sup>
                <m:r>
                  <m:t xml:space="preserve">i</m:t>
                </m:r>
                <m:r>
                  <m:t xml:space="preserve">=</m:t>
                </m:r>
                <m:r>
                  <m:t xml:space="preserve">M</m:t>
                </m:r>
              </m:sup>
              <m:e>
                <m:d>
                  <m:dPr>
                    <m:begChr m:val="("/>
                    <m:endChr m:val=")"/>
                  </m:dPr>
                  <m:e>
                    <m:r>
                      <m:t xml:space="preserve">1</m:t>
                    </m:r>
                    <m:r>
                      <m:t xml:space="preserve">+</m:t>
                    </m:r>
                    <m:d>
                      <m:dPr>
                        <m:begChr m:val="("/>
                        <m:endChr m:val=")"/>
                      </m:dPr>
                      <m:e>
                        <m:sSub>
                          <m:e>
                            <m:r>
                              <m:t xml:space="preserve">R</m:t>
                            </m:r>
                          </m:e>
                          <m:sub>
                            <m:r>
                              <m:t xml:space="preserve">i</m:t>
                            </m:r>
                          </m:sub>
                        </m:sSub>
                        <m:r>
                          <m:t xml:space="preserve">´</m:t>
                        </m:r>
                        <m:sSub>
                          <m:e>
                            <m:r>
                              <m:rPr>
                                <m:lit/>
                                <m:nor/>
                              </m:rPr>
                              <m:t xml:space="preserve"> Dm</m:t>
                            </m:r>
                          </m:e>
                          <m:sub>
                            <m:r>
                              <m:t xml:space="preserve">i</m:t>
                            </m:r>
                          </m:sub>
                        </m:sSub>
                        <m:r>
                          <m:rPr>
                            <m:lit/>
                            <m:nor/>
                          </m:rPr>
                          <m:t xml:space="preserve">/36000</m:t>
                        </m:r>
                      </m:e>
                    </m:d>
                  </m:e>
                </m:d>
                <m:r>
                  <m:t xml:space="preserve">−</m:t>
                </m:r>
                <m:r>
                  <m:t xml:space="preserve">1</m:t>
                </m:r>
              </m:e>
            </m:nary>
          </m:e>
        </m:d>
        <m:r>
          <m:t xml:space="preserve">/</m:t>
        </m:r>
        <m:d>
          <m:dPr>
            <m:begChr m:val="["/>
            <m:endChr m:val="]"/>
          </m:dPr>
          <m:e>
            <m:nary>
              <m:naryPr>
                <m:chr m:val="∑"/>
              </m:naryPr>
              <m:sub>
                <m:r>
                  <m:t xml:space="preserve">i</m:t>
                </m:r>
                <m:r>
                  <m:t xml:space="preserve">=</m:t>
                </m:r>
                <m:r>
                  <m:t xml:space="preserve">1</m:t>
                </m:r>
              </m:sub>
              <m:sup>
                <m:r>
                  <m:t xml:space="preserve">i</m:t>
                </m:r>
                <m:r>
                  <m:t xml:space="preserve">=</m:t>
                </m:r>
                <m:r>
                  <m:t xml:space="preserve">M</m:t>
                </m:r>
              </m:sup>
              <m:e>
                <m:sSub>
                  <m:e>
                    <m:r>
                      <m:rPr>
                        <m:lit/>
                        <m:nor/>
                      </m:rPr>
                      <m:t xml:space="preserve">Dm</m:t>
                    </m:r>
                  </m:e>
                  <m:sub>
                    <m:r>
                      <m:t xml:space="preserve">i</m:t>
                    </m:r>
                  </m:sub>
                </m:sSub>
              </m:e>
            </m:nary>
          </m:e>
        </m:d>
      </m:oMath>
    </w:p>
    <w:p>
      <w:pPr>
        <w:pStyle w:val="Normal"/>
        <w:rPr>
          <w:i/>
          <w:i/>
        </w:rPr>
      </w:pPr>
      <w:r>
        <w:rPr>
          <w:i/>
        </w:rPr>
      </w:r>
    </w:p>
    <w:p>
      <w:pPr>
        <w:pStyle w:val="Normal"/>
        <w:ind w:firstLine="720" w:start="720" w:end="0"/>
        <w:rPr/>
      </w:pPr>
      <w:r>
        <w:rPr/>
        <w:t>where:</w:t>
      </w:r>
    </w:p>
    <w:p>
      <w:pPr>
        <w:pStyle w:val="Normal"/>
        <w:rPr/>
      </w:pPr>
      <w:r>
        <w:rPr/>
      </w:r>
    </w:p>
    <w:p>
      <w:pPr>
        <w:pStyle w:val="Normal"/>
        <w:ind w:firstLine="720" w:start="1440" w:end="0"/>
        <w:rPr/>
      </w:pPr>
      <w:r>
        <w:rPr/>
        <w:t>"R</w:t>
      </w:r>
      <w:r>
        <w:rPr>
          <w:vertAlign w:val="subscript"/>
        </w:rPr>
        <w:t>i</w:t>
      </w:r>
      <w:r>
        <w:rPr/>
        <w:t>", for any relevant Compounding Period "i", is a rate equal to the arithmetic mean of the day-to-day French interbank money market for such Compounding Period and shall be calculated as follows:</w:t>
      </w:r>
    </w:p>
    <w:p>
      <w:pPr>
        <w:pStyle w:val="Normal"/>
        <w:ind w:firstLine="720" w:start="720" w:end="0"/>
        <w:rPr/>
      </w:pPr>
      <w:r>
        <w:rPr/>
      </w:r>
    </w:p>
    <w:p>
      <w:pPr>
        <w:pStyle w:val="Normal"/>
        <w:ind w:firstLine="653" w:start="3600" w:end="0"/>
        <w:rPr/>
      </w:pPr>
      <w:r>
        <w:rPr>
          <w:i/>
        </w:rPr>
        <w:t>R</w:t>
      </w:r>
      <w:r>
        <w:rPr>
          <w:i/>
          <w:vertAlign w:val="subscript"/>
        </w:rPr>
        <w:t>i</w:t>
      </w:r>
      <w:r>
        <w:rPr/>
        <w:t xml:space="preserve"> = </w:t>
      </w:r>
      <w:r>
        <w:rPr>
          <w:sz w:val="20"/>
        </w:rPr>
      </w:r>
      <m:oMath xmlns:m="http://schemas.openxmlformats.org/officeDocument/2006/math">
        <m:f>
          <m:num>
            <m:r>
              <m:rPr>
                <m:lit/>
                <m:nor/>
              </m:rPr>
              <m:t xml:space="preserve">100</m:t>
            </m:r>
          </m:num>
          <m:den>
            <m:sSub>
              <m:e>
                <m:r>
                  <m:rPr>
                    <m:lit/>
                    <m:nor/>
                  </m:rPr>
                  <m:t xml:space="preserve">Dm</m:t>
                </m:r>
              </m:e>
              <m:sub>
                <m:r>
                  <m:t xml:space="preserve">i</m:t>
                </m:r>
              </m:sub>
            </m:sSub>
          </m:den>
        </m:f>
      </m:oMath>
      <w:r>
        <w:rPr/>
        <w:t xml:space="preserve"> </w:t>
      </w:r>
      <w:r>
        <w:rPr>
          <w:sz w:val="20"/>
        </w:rPr>
      </w:r>
      <m:oMath xmlns:m="http://schemas.openxmlformats.org/officeDocument/2006/math">
        <m:d>
          <m:dPr>
            <m:begChr m:val="["/>
            <m:endChr m:val="]"/>
          </m:dPr>
          <m:e>
            <m:nary>
              <m:naryPr>
                <m:chr m:val="∑"/>
              </m:naryPr>
              <m:sub>
                <m:r>
                  <m:t xml:space="preserve">j</m:t>
                </m:r>
                <m:r>
                  <m:t xml:space="preserve">=</m:t>
                </m:r>
                <m:r>
                  <m:t xml:space="preserve">1</m:t>
                </m:r>
              </m:sub>
              <m:sup>
                <m:r>
                  <m:t xml:space="preserve">j</m:t>
                </m:r>
                <m:r>
                  <m:t xml:space="preserve">=</m:t>
                </m:r>
                <m:r>
                  <m:rPr>
                    <m:lit/>
                    <m:nor/>
                  </m:rPr>
                  <m:t xml:space="preserve">Dm</m:t>
                </m:r>
                <m:r>
                  <m:t xml:space="preserve">i</m:t>
                </m:r>
              </m:sup>
              <m:e>
                <m:r>
                  <m:t xml:space="preserve">R</m:t>
                </m:r>
                <m:r>
                  <m:t xml:space="preserve">j</m:t>
                </m:r>
              </m:e>
            </m:nary>
          </m:e>
        </m:d>
      </m:oMath>
    </w:p>
    <w:p>
      <w:pPr>
        <w:pStyle w:val="Normal"/>
        <w:jc w:val="center"/>
        <w:rPr/>
      </w:pPr>
      <w:r>
        <w:rPr/>
      </w:r>
    </w:p>
    <w:p>
      <w:pPr>
        <w:pStyle w:val="Normal"/>
        <w:ind w:firstLine="720" w:start="1440" w:end="0"/>
        <w:rPr/>
      </w:pPr>
      <w:r>
        <w:rPr/>
        <w:t>where:</w:t>
      </w:r>
    </w:p>
    <w:p>
      <w:pPr>
        <w:pStyle w:val="Normal"/>
        <w:ind w:start="720" w:end="0"/>
        <w:jc w:val="start"/>
        <w:rPr/>
      </w:pPr>
      <w:r>
        <w:rPr/>
      </w:r>
    </w:p>
    <w:p>
      <w:pPr>
        <w:pStyle w:val="Normal"/>
        <w:ind w:firstLine="720" w:start="2160" w:end="0"/>
        <w:rPr/>
      </w:pPr>
      <w:r>
        <w:rPr/>
        <w:t>"R</w:t>
      </w:r>
      <w:r>
        <w:rPr>
          <w:vertAlign w:val="subscript"/>
        </w:rPr>
        <w:t>j</w:t>
      </w:r>
      <w:r>
        <w:rPr/>
        <w:t>", for any day "j" in the relevant Compounding Period "i", is a reference rate equal to the day-to-day French interbank money market rate as calculated by Caisse des Dépôts et Consignations, and appearing on the Reuters Screen CDCINDEX1 Page opposite the heading "T.M.P." on the first Paris Banking Day following that day;</w:t>
      </w:r>
    </w:p>
    <w:p>
      <w:pPr>
        <w:pStyle w:val="Normal"/>
        <w:ind w:start="1440" w:end="0"/>
        <w:rPr/>
      </w:pPr>
      <w:r>
        <w:rPr/>
      </w:r>
    </w:p>
    <w:p>
      <w:pPr>
        <w:pStyle w:val="Normal"/>
        <w:ind w:firstLine="720" w:start="2160" w:end="0"/>
        <w:rPr/>
      </w:pPr>
      <w:r>
        <w:rPr/>
        <w:t>"j", is a series of whole numbers from one to Dm</w:t>
      </w:r>
      <w:r>
        <w:rPr>
          <w:vertAlign w:val="subscript"/>
        </w:rPr>
        <w:t>i</w:t>
      </w:r>
      <w:r>
        <w:rPr/>
        <w:t>, each representing the relevant days in chronological order in a Compounding Period "i", from and including the first day of such Compounding Period; and</w:t>
      </w:r>
    </w:p>
    <w:p>
      <w:pPr>
        <w:pStyle w:val="Normal"/>
        <w:ind w:start="2160" w:end="0"/>
        <w:rPr/>
      </w:pPr>
      <w:r>
        <w:rPr/>
      </w:r>
    </w:p>
    <w:p>
      <w:pPr>
        <w:pStyle w:val="Normal"/>
        <w:ind w:firstLine="720" w:start="2160" w:end="0"/>
        <w:rPr/>
      </w:pPr>
      <w:r>
        <w:rPr/>
        <w:t>"Dm</w:t>
      </w:r>
      <w:r>
        <w:rPr>
          <w:vertAlign w:val="subscript"/>
        </w:rPr>
        <w:t>i</w:t>
      </w:r>
      <w:r>
        <w:rPr/>
        <w:t>", for any relevant Compounding Period "i", is the actual number of days in that relevant Compounding Period;</w:t>
      </w:r>
    </w:p>
    <w:p>
      <w:pPr>
        <w:pStyle w:val="Normal"/>
        <w:ind w:start="1440" w:end="0"/>
        <w:rPr/>
      </w:pPr>
      <w:r>
        <w:rPr/>
      </w:r>
    </w:p>
    <w:p>
      <w:pPr>
        <w:pStyle w:val="Normal"/>
        <w:ind w:firstLine="720" w:start="1440" w:end="0"/>
        <w:rPr/>
      </w:pPr>
      <w:r>
        <w:rPr/>
        <w:t>"i", is a series of whole numbers from one to M, each representing the relevant Compounding Periods in chronological order from and including the first Compounding Period in the applicable Calculation Period;</w:t>
      </w:r>
    </w:p>
    <w:p>
      <w:pPr>
        <w:pStyle w:val="Normal"/>
        <w:ind w:start="1440" w:end="0"/>
        <w:rPr/>
      </w:pPr>
      <w:r>
        <w:rPr/>
      </w:r>
    </w:p>
    <w:p>
      <w:pPr>
        <w:pStyle w:val="Normal"/>
        <w:ind w:firstLine="720" w:start="1440" w:end="0"/>
        <w:rPr/>
      </w:pPr>
      <w:r>
        <w:rPr/>
        <w:t>"M", is the number of months as of the Designated Maturity, in the applicable Calculation Period; and</w:t>
      </w:r>
    </w:p>
    <w:p>
      <w:pPr>
        <w:pStyle w:val="Normal"/>
        <w:ind w:start="1440" w:end="0"/>
        <w:rPr/>
      </w:pPr>
      <w:r>
        <w:rPr/>
      </w:r>
    </w:p>
    <w:p>
      <w:pPr>
        <w:pStyle w:val="Normal"/>
        <w:ind w:firstLine="720" w:start="1440" w:end="0"/>
        <w:rPr/>
      </w:pPr>
      <w:r>
        <w:rPr/>
        <w:t>"DC", means (a) if the Calculation Period includes February 29 of a year, 36,600 and (b) in any other case, 36,500.</w:t>
      </w:r>
    </w:p>
    <w:p>
      <w:pPr>
        <w:pStyle w:val="Normal"/>
        <w:ind w:start="720" w:end="0"/>
        <w:rPr/>
      </w:pPr>
      <w:r>
        <w:rPr/>
      </w:r>
    </w:p>
    <w:p>
      <w:pPr>
        <w:pStyle w:val="Normal"/>
        <w:ind w:firstLine="720" w:start="720" w:end="0"/>
        <w:rPr/>
      </w:pPr>
      <w:r>
        <w:rPr/>
        <w:t>(xi)</w:t>
        <w:tab/>
        <w:t>"FRF-TMM-CDC" means that the rate for a Reset Date will be the arithmetic mean of the daily rates of the day-to-day French interbank money market, as calculated the Banque de France and appearing on the Reuters Screen CDCINDEX1 Page opposite the heading "T.M.M." on that Reset Date.  If such rate is not available from such source, then the rate for such Reset Date will be determined as if the parties had specified "FRF-TMP-CDC-AVERAGE" as the applicable Floating Rate Option.  Meanings for certain terms relevant to this Floating Rate Option shall be as specified in Exhibit III to the 1991 ISDA Definitions.</w:t>
      </w:r>
    </w:p>
    <w:p>
      <w:pPr>
        <w:pStyle w:val="Normal"/>
        <w:rPr/>
      </w:pPr>
      <w:r>
        <w:rPr/>
      </w:r>
    </w:p>
    <w:p>
      <w:pPr>
        <w:pStyle w:val="Normal"/>
        <w:ind w:firstLine="720" w:start="720" w:end="0"/>
        <w:rPr/>
      </w:pPr>
      <w:r>
        <w:rPr/>
        <w:t>(xii)</w:t>
        <w:tab/>
        <w:t>"FRF-TME-CDC" means that the rate for a Reset Date will be the arithmetic mean of the taux hebdomaires des emprunts d'Etat à long terme, as calculated by Caisse des Dépôts et Consignations and appearing on the Reuters Screen CDCINDEX2 Page opposite the heading "T.M.E." on that Reset Date.  If such rate does not appear on the Reuters Screen CDCINDEX2 Page, the rate for that Reset Date will be determined as if the parties had specified "FRF-TMP-CDC-AVERAGE" as the applicable Floating Rate Option.  Meanings for certain terms relevant to this Floating Rate Option shall be as specified in Exhibit III to the 1991 ISDA Definitions.</w:t>
      </w:r>
    </w:p>
    <w:p>
      <w:pPr>
        <w:pStyle w:val="Normal"/>
        <w:ind w:start="720" w:end="0"/>
        <w:rPr/>
      </w:pPr>
      <w:r>
        <w:rPr/>
      </w:r>
    </w:p>
    <w:p>
      <w:pPr>
        <w:pStyle w:val="Normal"/>
        <w:ind w:firstLine="720" w:start="720" w:end="0"/>
        <w:rPr/>
      </w:pPr>
      <w:r>
        <w:rPr/>
        <w:t>(xiii)</w:t>
        <w:tab/>
        <w:t>"FRF-TMP-CDC-AVERAGE" means that the rate for a Reset Date, calculated in accordance with the formula set forth below in this clause, will be the arithmetic mean of the daily rates of the day-to-day French interbank money market, adjusted to take into account the exact number of days in the month concerned.  Meanings for certain terms relevant to this Floating Rate Option shall be as specified in Exhibit III to the 1991 ISDA Definitions.</w:t>
      </w:r>
    </w:p>
    <w:p>
      <w:pPr>
        <w:pStyle w:val="Normal"/>
        <w:ind w:start="720" w:end="0"/>
        <w:rPr/>
      </w:pPr>
      <w:r>
        <w:rPr/>
      </w:r>
    </w:p>
    <w:p>
      <w:pPr>
        <w:pStyle w:val="Normal"/>
        <w:keepNext w:val="true"/>
        <w:ind w:firstLine="720" w:start="720" w:end="0"/>
        <w:rPr/>
      </w:pPr>
      <w:r>
        <w:rPr/>
        <w:t>"FRF-TMP-CDC-AVERAGE" shall be calculated as follows:</w:t>
      </w:r>
    </w:p>
    <w:p>
      <w:pPr>
        <w:pStyle w:val="Normal"/>
        <w:keepNext w:val="true"/>
        <w:ind w:start="720" w:end="0"/>
        <w:jc w:val="center"/>
        <w:rPr/>
      </w:pPr>
      <w:r>
        <w:rPr/>
      </w:r>
    </w:p>
    <w:p>
      <w:pPr>
        <w:pStyle w:val="Normal"/>
        <w:ind w:firstLine="653" w:start="3600" w:end="0"/>
        <w:rPr>
          <w:sz w:val="20"/>
        </w:rPr>
      </w:pPr>
      <w:r>
        <w:rPr>
          <w:sz w:val="20"/>
        </w:rPr>
      </w:r>
      <m:oMathPara xmlns:m="http://schemas.openxmlformats.org/officeDocument/2006/math">
        <m:oMathParaPr>
          <m:jc m:val="left"/>
        </m:oMathParaPr>
        <m:oMath>
          <m:f>
            <m:num>
              <m:r>
                <m:rPr>
                  <m:lit/>
                  <m:nor/>
                </m:rPr>
                <m:t xml:space="preserve">100</m:t>
              </m:r>
            </m:num>
            <m:den>
              <m:r>
                <m:t xml:space="preserve">D</m:t>
              </m:r>
            </m:den>
          </m:f>
          <m:r>
            <m:t xml:space="preserve">´</m:t>
          </m:r>
          <m:d>
            <m:dPr>
              <m:begChr m:val="["/>
              <m:endChr m:val="]"/>
            </m:dPr>
            <m:e>
              <m:nary>
                <m:naryPr>
                  <m:chr m:val="∑"/>
                </m:naryPr>
                <m:sub>
                  <m:r>
                    <m:t xml:space="preserve">i</m:t>
                  </m:r>
                  <m:r>
                    <m:t xml:space="preserve">=</m:t>
                  </m:r>
                  <m:r>
                    <m:t xml:space="preserve">1</m:t>
                  </m:r>
                </m:sub>
                <m:sup>
                  <m:r>
                    <m:t xml:space="preserve">i</m:t>
                  </m:r>
                  <m:r>
                    <m:t xml:space="preserve">=</m:t>
                  </m:r>
                  <m:r>
                    <m:t xml:space="preserve">D</m:t>
                  </m:r>
                </m:sup>
                <m:e>
                  <m:r>
                    <m:t xml:space="preserve">R</m:t>
                  </m:r>
                  <m:r>
                    <m:t xml:space="preserve">i</m:t>
                  </m:r>
                </m:e>
              </m:nary>
            </m:e>
          </m:d>
        </m:oMath>
      </m:oMathPara>
    </w:p>
    <w:p>
      <w:pPr>
        <w:pStyle w:val="Normal"/>
        <w:ind w:start="720" w:end="0"/>
        <w:jc w:val="start"/>
        <w:rPr/>
      </w:pPr>
      <w:r>
        <w:rPr/>
      </w:r>
    </w:p>
    <w:p>
      <w:pPr>
        <w:pStyle w:val="Normal"/>
        <w:ind w:firstLine="720" w:start="720" w:end="0"/>
        <w:jc w:val="start"/>
        <w:rPr/>
      </w:pPr>
      <w:r>
        <w:rPr/>
        <w:t>where:</w:t>
      </w:r>
    </w:p>
    <w:p>
      <w:pPr>
        <w:pStyle w:val="Normal"/>
        <w:ind w:start="720" w:end="0"/>
        <w:jc w:val="start"/>
        <w:rPr/>
      </w:pPr>
      <w:r>
        <w:rPr/>
      </w:r>
    </w:p>
    <w:p>
      <w:pPr>
        <w:pStyle w:val="Normal"/>
        <w:ind w:firstLine="720" w:start="1440" w:end="0"/>
        <w:rPr/>
      </w:pPr>
      <w:r>
        <w:rPr/>
        <w:t>"R</w:t>
      </w:r>
      <w:r>
        <w:rPr>
          <w:vertAlign w:val="subscript"/>
        </w:rPr>
        <w:t>i</w:t>
      </w:r>
      <w:r>
        <w:rPr/>
        <w:t>", for any relevant day "i" in the month of the Calculation Period, is a reference rate calculated by Caisse des Dépôts et Consignations and appearing on the Reuters Screen CDCINDEX1 Page opposite the heading "T.M.P." on that day, if that day is a Paris Banking Day, or on the Paris Banking Day immediately preceding that day, if that day is not a Paris Banking Day;</w:t>
      </w:r>
    </w:p>
    <w:p>
      <w:pPr>
        <w:pStyle w:val="Normal"/>
        <w:ind w:start="720" w:end="0"/>
        <w:rPr/>
      </w:pPr>
      <w:r>
        <w:rPr/>
      </w:r>
    </w:p>
    <w:p>
      <w:pPr>
        <w:pStyle w:val="Normal"/>
        <w:ind w:firstLine="720" w:start="1440" w:end="0"/>
        <w:rPr/>
      </w:pPr>
      <w:r>
        <w:rPr/>
        <w:t>"D", for the month of the Calculation Period, is the actual number of days in that month; and</w:t>
      </w:r>
    </w:p>
    <w:p>
      <w:pPr>
        <w:pStyle w:val="Normal"/>
        <w:ind w:start="1440" w:end="0"/>
        <w:rPr/>
      </w:pPr>
      <w:r>
        <w:rPr/>
      </w:r>
    </w:p>
    <w:p>
      <w:pPr>
        <w:pStyle w:val="Normal"/>
        <w:ind w:firstLine="720" w:start="1440" w:end="0"/>
        <w:rPr/>
      </w:pPr>
      <w:r>
        <w:rPr/>
        <w:t>"i" is a series of whole numbers from one to D, each representing in the month of the Calculation Period the chronological order of days in that month from and including the first day of that month to and including the last day of that month.</w:t>
      </w:r>
    </w:p>
    <w:p>
      <w:pPr>
        <w:pStyle w:val="Normal"/>
        <w:ind w:start="720" w:end="0"/>
        <w:jc w:val="start"/>
        <w:rPr/>
      </w:pPr>
      <w:r>
        <w:rPr/>
      </w:r>
    </w:p>
    <w:p>
      <w:pPr>
        <w:pStyle w:val="Normal"/>
        <w:ind w:firstLine="720" w:start="720" w:end="0"/>
        <w:rPr/>
      </w:pPr>
      <w:r>
        <w:rPr/>
        <w:t>(xiv)</w:t>
        <w:tab/>
        <w:t>"FRF-TEC10-CNO" means that the rate for a Reset Date will be the rate as calculated by Comité de Normalisation Obligataire which appears on the Reuters Screen CNOTEC10  Page</w:t>
      </w:r>
      <w:r>
        <w:rPr>
          <w:b/>
          <w:i/>
        </w:rPr>
        <w:t xml:space="preserve"> </w:t>
      </w:r>
      <w:r>
        <w:rPr/>
        <w:t>as of 10:00 a.m.,</w:t>
      </w:r>
      <w:r>
        <w:rPr>
          <w:i/>
        </w:rPr>
        <w:t xml:space="preserve"> </w:t>
      </w:r>
      <w:r>
        <w:rPr/>
        <w:t>Paris time, on the day that is one Paris Banking Day preceding that Reset Date.  If such rate does not appear on the Reuters Screen CNOTEC10 Page, the rate for that Reset Date will be determined as if the parties had specified "FRF-TEC10-Reference Banks" as the applicable Floating Rate Option.</w:t>
      </w:r>
    </w:p>
    <w:p>
      <w:pPr>
        <w:pStyle w:val="Normal"/>
        <w:ind w:firstLine="720" w:end="0"/>
        <w:rPr/>
      </w:pPr>
      <w:r>
        <w:rPr/>
      </w:r>
    </w:p>
    <w:p>
      <w:pPr>
        <w:pStyle w:val="Normal"/>
        <w:ind w:firstLine="720" w:start="720" w:end="0"/>
        <w:rPr/>
      </w:pPr>
      <w:r>
        <w:rPr/>
        <w:t>(xv)</w:t>
        <w:tab/>
        <w:t xml:space="preserve">"FRF-TEC10-Reference Banks" means that the rate for a Reset Date will be determined on the basis of the mid-market prices for each of the two reference Obligations Assimables du Trésor which would have been used by the Comité de Normalisation Obligataire for the calculation of the TEC 10, quoted by five Spécialistes en Valeurs du Trésor at approximately 10:00 a.m., Paris time, on the day that is one Paris Banking Day prior to that Reset Date.  The Calculation Agent will request the principal Paris office of each of the Spécialistes en Valeurs du Trésor to provide a quotation of its rate.  The rate for that Reset Date will be the redemption yield of the arithmetic mean of such rates as determined by the Calculation Agent after discarding the highest and lowest such quotations. </w:t>
      </w:r>
    </w:p>
    <w:p>
      <w:pPr>
        <w:pStyle w:val="Normal"/>
        <w:ind w:hanging="720" w:start="720" w:end="0"/>
        <w:rPr/>
      </w:pPr>
      <w:r>
        <w:rPr/>
      </w:r>
    </w:p>
    <w:p>
      <w:pPr>
        <w:pStyle w:val="Normal"/>
        <w:ind w:firstLine="720" w:start="720" w:end="0"/>
        <w:rPr/>
      </w:pPr>
      <w:r>
        <w:rPr/>
        <w:t>(xvi)</w:t>
        <w:tab/>
        <w:t>"FRF-TEC5-CNO" means that the rate for a Reset Date will be the rate as calculated by Comité de Normalisation Obligataire which appears on the Reuters Screen CNOTEC5 Page as of 10:00 a.m., Paris time, on the day which is one Paris Banking Day preceding that Reset Date.  If such rate does not appear on the Reuters Screen CNOTEC5 Page, the rate for that Reset Date will be determined as if the parties had specified "FRF-TEC5-Reference Banks" as the applicable Floating Rate Option.</w:t>
      </w:r>
    </w:p>
    <w:p>
      <w:pPr>
        <w:pStyle w:val="Normal"/>
        <w:ind w:hanging="720" w:start="720" w:end="0"/>
        <w:rPr/>
      </w:pPr>
      <w:r>
        <w:rPr/>
      </w:r>
    </w:p>
    <w:p>
      <w:pPr>
        <w:pStyle w:val="Normal"/>
        <w:ind w:firstLine="720" w:start="720" w:end="0"/>
        <w:rPr/>
      </w:pPr>
      <w:r>
        <w:rPr/>
        <w:t>(xvii)</w:t>
        <w:tab/>
        <w:t>"FRF-TEC5-Reference Banks" means that the rate for that Reset Date will be determined on the basis of the mid-market prices for each of the two reference Obligations Assimables du Trésor which would have been used by the Comité de Normalisation Obligataire for the calculation of the TEC5, quoted by five Spécialistes en Valeurs du Trésor, at approximately 10:00 a.m., Paris time, on the day that is one Paris Banking Day prior to that Reset Date.  The Calculation Agent will request the principal Paris office of each of the Spécialistes en Valeurs du Trésor to provide a quotation of its rate.  The rate for that Reset Date will be the redemption yield of the arithmetic mean of such rates as determined by the Calculation Agent after discarding the highest and lowest such quotations.</w:t>
      </w:r>
    </w:p>
    <w:p>
      <w:pPr>
        <w:pStyle w:val="Normal"/>
        <w:ind w:firstLine="720" w:end="0"/>
        <w:rPr/>
      </w:pPr>
      <w:r>
        <w:rPr/>
      </w:r>
    </w:p>
    <w:p>
      <w:pPr>
        <w:pStyle w:val="Normal"/>
        <w:ind w:firstLine="720" w:start="720" w:end="0"/>
        <w:rPr/>
      </w:pPr>
      <w:r>
        <w:rPr/>
        <w:t>(xviii)</w:t>
        <w:tab/>
        <w:t xml:space="preserve">"FRF-Annual Swap Rate" means that the rate for a Reset Date will be the annual swap rate for French Franc swap transactions with a maturity of the Designated Maturity, expressed as a percentage, which appears on the Telerate Page 42284 under the heading "MEAN" as of 11:00 a.m., Paris time, on the day that is one Paris Banking Day preceding that Reset Date.  If such rate does not appear on the Telerate Page 42284, the rate for that Reset Date will be determined as if the parties had specified "FRF-Annual Swap Rate-Reference Banks" as the applicable Floating Rate Option. </w:t>
      </w:r>
    </w:p>
    <w:p>
      <w:pPr>
        <w:pStyle w:val="Normal"/>
        <w:rPr/>
      </w:pPr>
      <w:r>
        <w:rPr/>
      </w:r>
    </w:p>
    <w:p>
      <w:pPr>
        <w:pStyle w:val="Normal"/>
        <w:ind w:firstLine="720" w:start="720" w:end="0"/>
        <w:rPr/>
      </w:pPr>
      <w:r>
        <w:rPr/>
        <w:t>(xix)</w:t>
        <w:tab/>
        <w:t>"FRF-ISDA-Swap Rate" means that the rate for a Reset Date will be the annual swap rate for French Franc swap transactions with a maturity of the Designated Maturity, expressed as a percentage, which appears on the Reuters Screen ISDAFIX1 Page as of 11:00 a.m., London time, on the day that is one Paris Banking Day preceding that Reset Date.  If such rate does not appear on the Reuters Screen ISDAFIX1 Page, the rate for that Reset Date will be determined as if the parties had specified "FRF-Annual Swap Rate-Reference Banks" as the applicable Floating Rate Option.</w:t>
      </w:r>
    </w:p>
    <w:p>
      <w:pPr>
        <w:pStyle w:val="Normal"/>
        <w:ind w:firstLine="720" w:end="0"/>
        <w:rPr/>
      </w:pPr>
      <w:r>
        <w:rPr/>
      </w:r>
    </w:p>
    <w:p>
      <w:pPr>
        <w:pStyle w:val="Normal"/>
        <w:ind w:firstLine="720" w:start="720" w:end="0"/>
        <w:rPr/>
      </w:pPr>
      <w:r>
        <w:rPr/>
        <w:t>(xx)</w:t>
        <w:tab/>
        <w:t>"FRF-Annual Swap Rate-Reference Banks" means that the rate for a Reset Date will be a percentage determined on the basis of the mid-market annual swap rate quotations provided by the Reference Banks (A) in the case of "FRF-Annual Swap Rate", at approximately 11:00 a.m., Paris time, or (B) in the case of "FRF-ISDA-Swap Rate", at approximately 11:00 a.m., London time, on the day that is one Paris Banking Day preceding that Reset Date, and, for this purpose, the mid-market annual swap rate means the mean of the bid and offered rates for the annual fixed leg of a fixed-for-floating French Franc interest rate swap transaction with a term equal to the Designated Maturity commencing on that Reset Date and in a Representative Amount with an acknowledged dealer of good credit in the swap market, where the floating leg is equivalent to FRF-PIBOR-PIBO with a Designated Maturity of three months on a 30/360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rPr/>
      </w:pPr>
      <w:r>
        <w:rPr/>
      </w:r>
    </w:p>
    <w:p>
      <w:pPr>
        <w:pStyle w:val="Normal"/>
        <w:keepNext w:val="true"/>
        <w:ind w:start="720" w:end="0"/>
        <w:rPr/>
      </w:pPr>
      <w:r>
        <w:rPr>
          <w:b/>
          <w:i/>
        </w:rPr>
        <w:t>(g)</w:t>
      </w:r>
      <w:r>
        <w:rPr/>
        <w:tab/>
      </w:r>
      <w:r>
        <w:rPr>
          <w:b/>
          <w:i/>
        </w:rPr>
        <w:t>Irish Pound.</w:t>
      </w:r>
    </w:p>
    <w:p>
      <w:pPr>
        <w:pStyle w:val="Normal"/>
        <w:keepNext w:val="true"/>
        <w:ind w:hanging="720" w:start="1440" w:end="0"/>
        <w:rPr>
          <w:b/>
          <w:i/>
          <w:i/>
        </w:rPr>
      </w:pPr>
      <w:r>
        <w:rPr>
          <w:b/>
          <w:i/>
        </w:rPr>
      </w:r>
    </w:p>
    <w:p>
      <w:pPr>
        <w:pStyle w:val="Normal"/>
        <w:ind w:firstLine="720" w:start="720" w:end="0"/>
        <w:rPr/>
      </w:pPr>
      <w:r>
        <w:rPr/>
        <w:t>(i)</w:t>
        <w:tab/>
        <w:t>"IEP-DIBOR-DIBO" means that the rate for a Reset Date will be determined on the basis of the lending rates for Irish Pounds for a period of the Designated Maturity which appear on the Reuters Screen DIBO Page as of 11:00 a.m., Dublin time, on that Reset Date and will be the arithmetic mean of such rates after eliminating the highest and lowest rates if more than three rates appear.  If three rates appear on the Reuters Screen DIBO Page, the rate for that Reset Date will be the arithmetic mean of such rates.  If fewer than three rates appear on the Reuters Screen DIBO Page, the rate for that Reset Date will be determined as if the parties had specified "IEP-DIBOR-Reference Banks" as the applicable Floating Rate Option.</w:t>
      </w:r>
    </w:p>
    <w:p>
      <w:pPr>
        <w:pStyle w:val="Normal"/>
        <w:ind w:hanging="720" w:start="1440" w:end="0"/>
        <w:rPr/>
      </w:pPr>
      <w:r>
        <w:rPr/>
      </w:r>
    </w:p>
    <w:p>
      <w:pPr>
        <w:pStyle w:val="Normal"/>
        <w:ind w:firstLine="720" w:start="720" w:end="0"/>
        <w:rPr/>
      </w:pPr>
      <w:r>
        <w:rPr/>
        <w:t>(ii)</w:t>
        <w:tab/>
        <w:t>"IEP-DIBOR-Reference Banks" means that the rate for a Reset Date will be determined on the basis of the lending rates for Irish Pounds which are offered by the Reference Banks at approximately 11:00 a.m., Dublin time, on that Reset Date to prime banks in the Dublin interbank market for a period of the Designated Maturity commencing on that Reset Date and in a Representative Amount.  The Calculation Agent will request the principal Dublin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Dublin selected by the Calculation Agent, at approximately 11:00 a.m., Dublin time, on that Reset Date for loans in Irish Pounds to leading European banks for a period of the Designated Maturity commencing on that Reset Date and in a Representative Amount.</w:t>
      </w:r>
    </w:p>
    <w:p>
      <w:pPr>
        <w:pStyle w:val="Normal"/>
        <w:keepNext w:val="true"/>
        <w:spacing w:before="240" w:after="0"/>
        <w:ind w:start="720" w:end="0"/>
        <w:rPr>
          <w:b/>
          <w:i/>
          <w:i/>
        </w:rPr>
      </w:pPr>
      <w:r>
        <w:rPr>
          <w:b/>
          <w:i/>
        </w:rPr>
        <w:t>(h)</w:t>
        <w:tab/>
        <w:t>Italian Lira.</w:t>
      </w:r>
    </w:p>
    <w:p>
      <w:pPr>
        <w:pStyle w:val="Normal"/>
        <w:keepNext w:val="true"/>
        <w:ind w:firstLine="720" w:start="720" w:end="0"/>
        <w:rPr>
          <w:b/>
          <w:i/>
          <w:i/>
        </w:rPr>
      </w:pPr>
      <w:r>
        <w:rPr>
          <w:b/>
          <w:i/>
        </w:rPr>
      </w:r>
    </w:p>
    <w:p>
      <w:pPr>
        <w:pStyle w:val="Normal"/>
        <w:keepNext w:val="true"/>
        <w:ind w:firstLine="720" w:start="720" w:end="0"/>
        <w:rPr/>
      </w:pPr>
      <w:r>
        <w:rPr/>
        <w:t>(i)</w:t>
        <w:tab/>
        <w:t>"ITL-LIBOR-ITFX" means that the rate for a Reset Date will be the arithmetic mean of the rates for deposits in Italian Lire for a period of the Designated Maturity which appear on the Reuters Screen ITFX Page as of 11:00 a.m., London time, on the day that is two London Business Days preceding that Reset Date.  If fewer than two rates appear on the Reuters Screen ITFX Page, the rate for that Reset Date will be determined as if the parties had specified "ITL-LIBOR-Reference Banks" as the applicable Floating Rate Option.</w:t>
      </w:r>
    </w:p>
    <w:p>
      <w:pPr>
        <w:pStyle w:val="Normal"/>
        <w:ind w:hanging="720" w:start="720" w:end="0"/>
        <w:rPr/>
      </w:pPr>
      <w:r>
        <w:rPr/>
      </w:r>
    </w:p>
    <w:p>
      <w:pPr>
        <w:pStyle w:val="Normal"/>
        <w:ind w:firstLine="720" w:start="720" w:end="0"/>
        <w:rPr/>
      </w:pPr>
      <w:r>
        <w:rPr/>
        <w:t>(ii)</w:t>
        <w:tab/>
        <w:t>"ITL-LIBOR-ITFY" means that the rate for a Reset Date will be the arithmetic mean of the rates for deposits in Italian Lire for a period of the Designated Maturity which appear on the Reuters Screen ITFY Page as of 11:00 a.m., London time, on the day that is two London Banking Days preceding that Reset Date.  If fewer than two rates appear on the Reuters Screen ITFY Page, the rate for that Reset Date will be determined as if the parties had specified "ITL-LIBOR-Reference Banks" as the applicable Floating Rate Option.</w:t>
      </w:r>
    </w:p>
    <w:p>
      <w:pPr>
        <w:pStyle w:val="Normal"/>
        <w:ind w:hanging="720" w:start="720" w:end="0"/>
        <w:rPr/>
      </w:pPr>
      <w:r>
        <w:rPr/>
      </w:r>
    </w:p>
    <w:p>
      <w:pPr>
        <w:pStyle w:val="Normal"/>
        <w:ind w:firstLine="720" w:start="720" w:end="0"/>
        <w:rPr/>
      </w:pPr>
      <w:r>
        <w:rPr/>
        <w:t>(iii)</w:t>
        <w:tab/>
        <w:t>"ITL-LIBOR-BBA" means that the rate for a Reset Date will be the rate for deposits in Italian Lire for a period of the Designated Maturity which appears on the Telerate Page 3740 as of 11:00 a.m., London time, on the day that is two London Banking Days preceding that Reset Date. If such rate does not appear on the Telerate Page 3740, the rate for that Reset Date will be determined as if the parties had specified "ITL-LIBOR-Reference Banks" as the applicable Floating Rate Option.</w:t>
      </w:r>
    </w:p>
    <w:p>
      <w:pPr>
        <w:pStyle w:val="Normal"/>
        <w:ind w:hanging="720" w:start="720" w:end="0"/>
        <w:rPr/>
      </w:pPr>
      <w:r>
        <w:rPr/>
      </w:r>
    </w:p>
    <w:p>
      <w:pPr>
        <w:pStyle w:val="Normal"/>
        <w:ind w:firstLine="720" w:start="720" w:end="0"/>
        <w:rPr/>
      </w:pPr>
      <w:r>
        <w:rPr/>
        <w:t>(iv)</w:t>
        <w:tab/>
        <w:t>"ITL-LIBOR-ILIR" means that the rate for a Reset Date will be determined on the basis of the average of the rates for deposits in Italian Lire for a period of the Designated Maturity which appear on the Reuters Screen ILIR Page as of 11:00 a.m., London time, on the day that is two London Banking Days preceding that Reset Date.  If fewer than two rates appear on the Reuters Screen ILIR Page, the rate for that Reset Date will be determined as if the parties had specified "ITL-LIBOR-Reference Banks" as the applicable Floating Rate Option.</w:t>
      </w:r>
    </w:p>
    <w:p>
      <w:pPr>
        <w:pStyle w:val="Normal"/>
        <w:ind w:hanging="720" w:start="720" w:end="0"/>
        <w:rPr/>
      </w:pPr>
      <w:r>
        <w:rPr/>
      </w:r>
    </w:p>
    <w:p>
      <w:pPr>
        <w:pStyle w:val="Normal"/>
        <w:ind w:firstLine="720" w:start="720" w:end="0"/>
        <w:rPr/>
      </w:pPr>
      <w:r>
        <w:rPr/>
        <w:t>(v)</w:t>
        <w:tab/>
        <w:t>"ITL-RIBOR-ATIA-Full Period Average" means that the rate for a Reset Date will be determined on the basis of the arithmetic mean of the rates for deposits in Italian Lire for a period of the Designated Maturity which appear on the Reuters Screen ATIA Page as of 12:00 noon, Rome time, on each day that is two Rome Banking Days preceding each Rome</w:t>
      </w:r>
      <w:r>
        <w:rPr>
          <w:b/>
          <w:i/>
        </w:rPr>
        <w:t xml:space="preserve"> </w:t>
      </w:r>
      <w:r>
        <w:rPr/>
        <w:t>Banking Day during the Calculation Period.  If fewer than two rates appear on the Reuters Screen ATIA Page, the rate for that Reset Date will be determined as if the parties had specified "ITL-RIBOR-Published" as the applicable Floating Rate Option.</w:t>
      </w:r>
    </w:p>
    <w:p>
      <w:pPr>
        <w:pStyle w:val="Normal"/>
        <w:ind w:hanging="720" w:start="720" w:end="0"/>
        <w:rPr/>
      </w:pPr>
      <w:r>
        <w:rPr/>
      </w:r>
    </w:p>
    <w:p>
      <w:pPr>
        <w:pStyle w:val="Normal"/>
        <w:ind w:firstLine="720" w:start="720" w:end="0"/>
        <w:rPr/>
      </w:pPr>
      <w:r>
        <w:rPr/>
        <w:t>(vi)</w:t>
        <w:tab/>
        <w:t>"ITL-RIBOR-ATIA-Preceding Days Average" means that the rate for a Reset Date will be determined on the basis of the arithmetic mean of the rates for deposits in Italian Lire for a period of the number of days preceding the Designated Maturity, as specified in the related Confirmation, which appear on the Reuters Screen ATIA Page as of 12:00 noon, Rome time, on the day that is two Rome Banking Days preceding each of such days preceding the Designated Maturity.  If fewer than two rates appear on the Reuters Screen ATIA Page, the rate for that Reset Date will be determined as if the parties had specified "ITL-LIBOR-Reference Banks" as the applicable Floating Rate Option.</w:t>
      </w:r>
    </w:p>
    <w:p>
      <w:pPr>
        <w:pStyle w:val="Normal"/>
        <w:rPr/>
      </w:pPr>
      <w:r>
        <w:rPr/>
      </w:r>
    </w:p>
    <w:p>
      <w:pPr>
        <w:pStyle w:val="Normal"/>
        <w:ind w:firstLine="720" w:start="720" w:end="0"/>
        <w:rPr/>
      </w:pPr>
      <w:r>
        <w:rPr/>
        <w:t>(vii)</w:t>
        <w:tab/>
        <w:t>"ITL-LIBOR Reference Banks" means that the rate for a Reset Date will be determined on the basis of the rates at which deposits in Italian Lire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such quotations are provided, the rate for that Reset Date will be the arithmetic mean of the quotations.  If fewer than two quotations are provided as requested, the rate for that Reset Date will be the arithmetic mean of the rates quoted by major banks in Milan, selected by the Calculation Agent, at approximately 11.00 a.m., Milan time, on that Reset Date for loans in Italian Lire to leading European banks for a period of the Designated Maturity commencing on that Reset Date and in a Representative Amount.</w:t>
      </w:r>
    </w:p>
    <w:p>
      <w:pPr>
        <w:pStyle w:val="Normal"/>
        <w:rPr/>
      </w:pPr>
      <w:r>
        <w:rPr/>
      </w:r>
    </w:p>
    <w:p>
      <w:pPr>
        <w:pStyle w:val="Normal"/>
        <w:ind w:firstLine="720" w:start="720" w:end="0"/>
        <w:rPr/>
      </w:pPr>
      <w:r>
        <w:rPr/>
        <w:t>(viii)</w:t>
        <w:tab/>
        <w:t>"ITL-RIBOR-ATIA" means that the rate for a Reset Date will be the rate for deposits in Italian Lire for a period of the Designated Maturity which appears on the Reuters Screen ATIA Page as of 12:00 noon, Rome time, on the day that is two Rome Banking Days preceding that Reset Date.  If such rate does not appear on the Reuters Screen ATIA Page, the rate for that Reset Date will be determined as if the parties had specified "ITL-RIBOR-Published" as the applicable Floating Rate Option.</w:t>
      </w:r>
    </w:p>
    <w:p>
      <w:pPr>
        <w:pStyle w:val="Normal"/>
        <w:rPr/>
      </w:pPr>
      <w:r>
        <w:rPr/>
      </w:r>
    </w:p>
    <w:p>
      <w:pPr>
        <w:pStyle w:val="Normal"/>
        <w:ind w:firstLine="720" w:start="720" w:end="0"/>
        <w:rPr/>
      </w:pPr>
      <w:r>
        <w:rPr/>
        <w:t>(ix)</w:t>
        <w:tab/>
        <w:t>"ITL-RIBOR-RIBO-Full Period Average" means that the rate for a Reset Date will be determined on the basis of the arithmetic mean of the rates for deposits in Italian Lire for a period of the Designated Maturity which appear on the Reuters Screen RIBO Page as of 12:00 noon, Rome time, on each day that is two Rome Banking Days preceding each Rome Banking Day during the Calculation Period.  If fewer than two rates appear on the Reuters Screen RIBO page, the rate for that Reset Date will be determined as if the parties had specified "ITL-RIBOR-Published" as the applicable Floating Rate Option.</w:t>
      </w:r>
    </w:p>
    <w:p>
      <w:pPr>
        <w:pStyle w:val="Normal"/>
        <w:rPr/>
      </w:pPr>
      <w:r>
        <w:rPr/>
      </w:r>
    </w:p>
    <w:p>
      <w:pPr>
        <w:pStyle w:val="Normal"/>
        <w:ind w:firstLine="720" w:start="720" w:end="0"/>
        <w:rPr/>
      </w:pPr>
      <w:r>
        <w:rPr/>
        <w:t>(x)</w:t>
        <w:tab/>
        <w:t>"ITL-RIBOR-RIBO-Preceding Days Average" means that the rate for a Reset Date will be determined on the basis of the arithmetic mean of the rates for deposits in Italian Lire for a period of the number of days preceding the Designated Maturity, as specified in the related Confirmation, which appear on the Reuters Screen RIBO Page as of 12:00 noon, Rome time, on the day that is two Rome Banking Days preceding each of such days preceding the Designated Maturity.   If fewer than two rates appear on the Reuters Screen RIBO Page, the rate for that Reset Date will be determined as if the parties had specified "ITL-LIBOR-Reference Banks" as the applicable Floating Rate Option.</w:t>
      </w:r>
    </w:p>
    <w:p>
      <w:pPr>
        <w:pStyle w:val="Normal"/>
        <w:rPr/>
      </w:pPr>
      <w:r>
        <w:rPr/>
      </w:r>
    </w:p>
    <w:p>
      <w:pPr>
        <w:pStyle w:val="Normal"/>
        <w:ind w:firstLine="720" w:start="720" w:end="0"/>
        <w:rPr/>
      </w:pPr>
      <w:r>
        <w:rPr/>
        <w:t>(xi)</w:t>
        <w:tab/>
        <w:t>"ITL-RIBOR-RIBO" means that the rate for a Reset Date will be the rate for deposits in Italian Lire for a period of the Designated Maturity which appears on the Reuters Screen RIBO Page as of 12:00 noon, Rome time, on the day that is two Rome Banking Days preceding that Reset Date.  If such rate does not appear on the Reuters Screen RIBO Page, the rate for that Reset Date will be determined as if the parties had specified "ITL-RIBOR-Published" as the applicable Floating Rate Option.</w:t>
      </w:r>
    </w:p>
    <w:p>
      <w:pPr>
        <w:pStyle w:val="Normal"/>
        <w:rPr/>
      </w:pPr>
      <w:r>
        <w:rPr/>
      </w:r>
    </w:p>
    <w:p>
      <w:pPr>
        <w:pStyle w:val="Normal"/>
        <w:ind w:firstLine="720" w:start="720" w:end="0"/>
        <w:rPr/>
      </w:pPr>
      <w:r>
        <w:rPr/>
        <w:t>(xii)</w:t>
        <w:tab/>
        <w:t xml:space="preserve">"ITL-RIBOR-Published" means that the rate for a Reset Date will be the rate at which deposits in Italian Lire are offered in respect of the day that is two Rome Banking Days preceding such Reset Date to prime banks in the Rome interbank market for a period of the Designated Maturity as published on the next succeeding Rome Banking Day in Il </w:t>
      </w:r>
      <w:r>
        <w:rPr>
          <w:i/>
        </w:rPr>
        <w:t>Sole 24 Ore</w:t>
      </w:r>
      <w:r>
        <w:rPr/>
        <w:t xml:space="preserve">.  If such rate is not published in </w:t>
      </w:r>
      <w:r>
        <w:rPr>
          <w:i/>
        </w:rPr>
        <w:t>Il</w:t>
      </w:r>
      <w:r>
        <w:rPr/>
        <w:t xml:space="preserve"> </w:t>
      </w:r>
      <w:r>
        <w:rPr>
          <w:i/>
        </w:rPr>
        <w:t>Sole 24 Ore</w:t>
      </w:r>
      <w:r>
        <w:rPr/>
        <w:t>, the rate for that Reset Date will be determined as if the parties had specified "ITL-LIBOR-Reference Banks" as the applicable Floating Rate Option.</w:t>
      </w:r>
    </w:p>
    <w:p>
      <w:pPr>
        <w:pStyle w:val="Normal"/>
        <w:rPr/>
      </w:pPr>
      <w:r>
        <w:rPr/>
      </w:r>
    </w:p>
    <w:p>
      <w:pPr>
        <w:pStyle w:val="Normal"/>
        <w:ind w:firstLine="720" w:start="720" w:end="0"/>
        <w:rPr/>
      </w:pPr>
      <w:r>
        <w:rPr/>
        <w:t>(xiii)</w:t>
        <w:tab/>
        <w:t>"ITL-TMP-OIS-COMPOUND" means that the rate for a Reset Date, calculated in accordance with the formula set forth below in this clause, will be the rate of return of a daily compound interest investment, renewed on each Compounding Date over the preceding Compounding Period (it being understood that the reference rate for the calculation of interest is the Italian Weighted Average overnight rate).</w:t>
      </w:r>
    </w:p>
    <w:p>
      <w:pPr>
        <w:pStyle w:val="Normal"/>
        <w:rPr/>
      </w:pPr>
      <w:r>
        <w:rPr/>
      </w:r>
    </w:p>
    <w:p>
      <w:pPr>
        <w:pStyle w:val="Normal"/>
        <w:ind w:firstLine="720" w:start="720" w:end="0"/>
        <w:rPr/>
      </w:pPr>
      <w:r>
        <w:rPr/>
        <w:t>"ITL-TMP-OIS-COMPOUND" shall be calculated as follows:</w:t>
      </w:r>
    </w:p>
    <w:p>
      <w:pPr>
        <w:pStyle w:val="Normal"/>
        <w:jc w:val="center"/>
        <w:rPr/>
      </w:pPr>
      <w:r>
        <w:rPr/>
      </w:r>
    </w:p>
    <w:p>
      <w:pPr>
        <w:pStyle w:val="Normal"/>
        <w:ind w:start="720" w:end="0"/>
        <w:rPr/>
      </w:pPr>
      <w:r>
        <w:rPr/>
      </w:r>
    </w:p>
    <w:p>
      <w:pPr>
        <w:pStyle w:val="Normal"/>
        <w:ind w:firstLine="720" w:end="0"/>
        <w:jc w:val="center"/>
        <w:rPr>
          <w:sz w:val="20"/>
        </w:rPr>
      </w:pPr>
      <w:r>
        <w:rPr>
          <w:sz w:val="20"/>
        </w:rPr>
      </w:r>
      <m:oMathPara xmlns:m="http://schemas.openxmlformats.org/officeDocument/2006/math">
        <m:oMathParaPr>
          <m:jc m:val="center"/>
        </m:oMathParaPr>
        <m:oMath>
          <m:d>
            <m:dPr>
              <m:begChr m:val="["/>
              <m:endChr m:val="]"/>
            </m:dPr>
            <m:e>
              <m:nary>
                <m:naryPr>
                  <m:chr m:val="∏"/>
                </m:naryPr>
                <m:sub>
                  <m:r>
                    <m:rPr>
                      <m:lit/>
                      <m:nor/>
                    </m:rPr>
                    <m:t xml:space="preserve">i=1</m:t>
                  </m:r>
                </m:sub>
                <m:sup>
                  <m:r>
                    <m:t xml:space="preserve">d</m:t>
                  </m:r>
                  <m:r>
                    <m:t xml:space="preserve">o</m:t>
                  </m:r>
                </m:sup>
                <m:e>
                  <m:d>
                    <m:dPr>
                      <m:begChr m:val="("/>
                      <m:endChr m:val=")"/>
                    </m:dPr>
                    <m:e>
                      <m:r>
                        <m:t xml:space="preserve">1</m:t>
                      </m:r>
                      <m:r>
                        <m:t xml:space="preserve">+</m:t>
                      </m:r>
                      <m:f>
                        <m:num>
                          <m:r>
                            <m:rPr>
                              <m:lit/>
                              <m:nor/>
                            </m:rPr>
                            <m:t xml:space="preserve">TMP</m:t>
                          </m:r>
                          <m:r>
                            <m:t xml:space="preserve">i</m:t>
                          </m:r>
                          <m:r>
                            <m:t xml:space="preserve">×</m:t>
                          </m:r>
                          <m:r>
                            <m:t xml:space="preserve">n</m:t>
                          </m:r>
                          <m:r>
                            <m:t xml:space="preserve">i</m:t>
                          </m:r>
                        </m:num>
                        <m:den>
                          <m:r>
                            <m:rPr>
                              <m:lit/>
                              <m:nor/>
                            </m:rPr>
                            <m:t xml:space="preserve">365</m:t>
                          </m:r>
                        </m:den>
                      </m:f>
                    </m:e>
                  </m:d>
                </m:e>
              </m:nary>
              <m:r>
                <m:t xml:space="preserve">−</m:t>
              </m:r>
              <m:r>
                <m:t xml:space="preserve">1</m:t>
              </m:r>
            </m:e>
          </m:d>
          <m:f>
            <m:num>
              <m:r>
                <m:rPr>
                  <m:lit/>
                  <m:nor/>
                </m:rPr>
                <m:t xml:space="preserve">365</m:t>
              </m:r>
            </m:num>
            <m:den>
              <m:r>
                <m:t xml:space="preserve">d</m:t>
              </m:r>
            </m:den>
          </m:f>
        </m:oMath>
      </m:oMathPara>
    </w:p>
    <w:p>
      <w:pPr>
        <w:pStyle w:val="Normal"/>
        <w:ind w:start="720" w:end="0"/>
        <w:rPr/>
      </w:pPr>
      <w:r>
        <w:rPr/>
      </w:r>
    </w:p>
    <w:p>
      <w:pPr>
        <w:pStyle w:val="Normal"/>
        <w:ind w:firstLine="720" w:start="720" w:end="0"/>
        <w:rPr/>
      </w:pPr>
      <w:r>
        <w:rPr/>
        <w:t xml:space="preserve">where: </w:t>
      </w:r>
    </w:p>
    <w:p>
      <w:pPr>
        <w:pStyle w:val="Normal"/>
        <w:ind w:start="720" w:end="0"/>
        <w:rPr/>
      </w:pPr>
      <w:r>
        <w:rPr/>
      </w:r>
    </w:p>
    <w:p>
      <w:pPr>
        <w:pStyle w:val="Normal"/>
        <w:ind w:firstLine="720" w:start="1440" w:end="0"/>
        <w:rPr/>
      </w:pPr>
      <w:r>
        <w:rPr/>
        <w:t>"d</w:t>
      </w:r>
      <w:r>
        <w:rPr>
          <w:vertAlign w:val="subscript"/>
        </w:rPr>
        <w:t>o</w:t>
      </w:r>
      <w:r>
        <w:rPr/>
        <w:t>", for any Calculation Period, is the number of Milan Banking Days in the relevant Calculation Period;</w:t>
      </w:r>
    </w:p>
    <w:p>
      <w:pPr>
        <w:pStyle w:val="Normal"/>
        <w:ind w:start="720" w:end="0"/>
        <w:rPr/>
      </w:pPr>
      <w:r>
        <w:rPr/>
      </w:r>
    </w:p>
    <w:p>
      <w:pPr>
        <w:pStyle w:val="Normal"/>
        <w:ind w:firstLine="720" w:start="1440" w:end="0"/>
        <w:rPr/>
      </w:pPr>
      <w:r>
        <w:rPr/>
        <w:t>"i", is a series of whole numbers from one to d</w:t>
      </w:r>
      <w:r>
        <w:rPr>
          <w:vertAlign w:val="subscript"/>
        </w:rPr>
        <w:t>o</w:t>
      </w:r>
      <w:r>
        <w:rPr/>
        <w:t>, each representing the relevant Milan Banking Days in chronological order from and including the first such day in the relevant Calculation Period;</w:t>
      </w:r>
    </w:p>
    <w:p>
      <w:pPr>
        <w:pStyle w:val="Normal"/>
        <w:ind w:start="720" w:end="0"/>
        <w:rPr/>
      </w:pPr>
      <w:r>
        <w:rPr/>
      </w:r>
    </w:p>
    <w:p>
      <w:pPr>
        <w:pStyle w:val="Normal"/>
        <w:ind w:firstLine="720" w:start="1440" w:end="0"/>
        <w:rPr/>
      </w:pPr>
      <w:r>
        <w:rPr/>
        <w:t>"TMP</w:t>
      </w:r>
      <w:r>
        <w:rPr>
          <w:vertAlign w:val="subscript"/>
        </w:rPr>
        <w:t>i</w:t>
      </w:r>
      <w:r>
        <w:rPr/>
        <w:t>", for any day "i" in the relevant Calculation Period is a reference rate equal to the overnight rate as calculated by the MID-Mercato Interbancario dei Depositi and appearing on the Reuters Screen ATIA Page on the first Milan Banking Day following that day;</w:t>
      </w:r>
    </w:p>
    <w:p>
      <w:pPr>
        <w:pStyle w:val="Normal"/>
        <w:ind w:start="720" w:end="0"/>
        <w:rPr/>
      </w:pPr>
      <w:r>
        <w:rPr/>
      </w:r>
    </w:p>
    <w:p>
      <w:pPr>
        <w:pStyle w:val="Normal"/>
        <w:ind w:firstLine="720" w:start="1440" w:end="0"/>
        <w:rPr/>
      </w:pPr>
      <w:r>
        <w:rPr/>
        <w:t>"n</w:t>
      </w:r>
      <w:r>
        <w:rPr>
          <w:vertAlign w:val="subscript"/>
        </w:rPr>
        <w:t>i</w:t>
      </w:r>
      <w:r>
        <w:rPr/>
        <w:t>", is the number of calendar days during which the overnight rate is applicable;</w:t>
      </w:r>
    </w:p>
    <w:p>
      <w:pPr>
        <w:pStyle w:val="Normal"/>
        <w:spacing w:before="240" w:after="0"/>
        <w:ind w:firstLine="720" w:start="1440" w:end="0"/>
        <w:rPr/>
      </w:pPr>
      <w:r>
        <w:rPr/>
        <w:t>"d", is the number of calendar days from, and including, the Effective Date to, but excluding, the Termination Date.</w:t>
      </w:r>
    </w:p>
    <w:p>
      <w:pPr>
        <w:pStyle w:val="Normal"/>
        <w:rPr/>
      </w:pPr>
      <w:r>
        <w:rPr/>
      </w:r>
    </w:p>
    <w:p>
      <w:pPr>
        <w:pStyle w:val="Normal"/>
        <w:ind w:firstLine="720" w:start="720" w:end="0"/>
        <w:rPr/>
      </w:pPr>
      <w:r>
        <w:rPr/>
        <w:t>(xiv)</w:t>
        <w:tab/>
        <w:t xml:space="preserve">"ITL-Annual Swap Rate" means that the rate for a Reset Date will be the annual swap rate for Italian Lire for swap transactions with a maturity of the Designated Maturity, expressed as a percentage, which appears on the Telerate Page 42285 under the heading "MEAN" as of 11:00 a.m., London time, on the day that is two London Banking Days preceding that Reset Date.  If such rate does not appear on the Telerate Page 42285, the rate for that Reset Date will be determined as if the parties had specified "ITL-Annual Swap Rate-Reference Banks" as the applicable Floating Rate Option. </w:t>
      </w:r>
    </w:p>
    <w:p>
      <w:pPr>
        <w:pStyle w:val="Normal"/>
        <w:rPr/>
      </w:pPr>
      <w:r>
        <w:rPr/>
      </w:r>
    </w:p>
    <w:p>
      <w:pPr>
        <w:pStyle w:val="Normal"/>
        <w:ind w:firstLine="720" w:start="720" w:end="0"/>
        <w:rPr/>
      </w:pPr>
      <w:r>
        <w:rPr/>
        <w:t>(xv)</w:t>
        <w:tab/>
        <w:t>"ITL-Annual Swap Rate-Reference Banks" means that the rate for a Reset Date will be a percentage determined on the basis of the mid-market annual swap rate quotations provided by the Reference Banks at approximately 11:00 a.m., London time, on the day that is two London Banking Days preceding that Reset Date, and, for this purpose, the mid-market annual swap rate means the mean of the bid and offered rates for the annual fixed leg of a fixed-for-floating Italian Lire interest rate swap transaction with a term equal to the Designated Maturity commencing on that Reset Date and in a Representative Amount with an acknowledged dealer of good credit in the swap market, where the floating leg is equivalent to</w:t>
      </w:r>
      <w:r>
        <w:rPr>
          <w:b/>
          <w:i/>
        </w:rPr>
        <w:t xml:space="preserve"> </w:t>
      </w:r>
      <w:r>
        <w:rPr/>
        <w:t>ITL-LIBOR-BBA with a Designated Maturity of six months on a 30/360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rPr/>
      </w:pPr>
      <w:r>
        <w:rPr/>
      </w:r>
    </w:p>
    <w:p>
      <w:pPr>
        <w:pStyle w:val="Normal"/>
        <w:keepNext w:val="true"/>
        <w:ind w:start="720" w:end="0"/>
        <w:rPr>
          <w:b/>
          <w:i/>
          <w:i/>
        </w:rPr>
      </w:pPr>
      <w:r>
        <w:rPr>
          <w:b/>
          <w:i/>
        </w:rPr>
        <w:t>(i)</w:t>
        <w:tab/>
        <w:t>Luxembourg Franc.</w:t>
      </w:r>
    </w:p>
    <w:p>
      <w:pPr>
        <w:pStyle w:val="Normal"/>
        <w:keepNext w:val="true"/>
        <w:ind w:hanging="720" w:start="720" w:end="0"/>
        <w:rPr>
          <w:b/>
          <w:i/>
          <w:i/>
        </w:rPr>
      </w:pPr>
      <w:r>
        <w:rPr>
          <w:b/>
          <w:i/>
        </w:rPr>
      </w:r>
    </w:p>
    <w:p>
      <w:pPr>
        <w:pStyle w:val="Normal"/>
        <w:ind w:firstLine="720" w:start="720" w:end="0"/>
        <w:rPr/>
      </w:pPr>
      <w:r>
        <w:rPr/>
        <w:t>(i)</w:t>
        <w:tab/>
        <w:t>"LUF-LUXIBOR-ISDB" means that the rate for a Reset Date will be the rate for deposits in Luxembourg Francs for a period of the Designated Maturity which appears on the Reuters Screen ISDB Page as of 11:00 a.m., Luxembourg time, on the day that is two Luxembourg Banking Days preceding that Reset Date.  If such rate does not appear on the Reuters Screen ISDB Page, the rate for that Reset Date will be determined as if the parties had specified "LUF-LUXIBOR-Reference Banks" as the applicable Floating Rate Option.</w:t>
      </w:r>
    </w:p>
    <w:p>
      <w:pPr>
        <w:pStyle w:val="Normal"/>
        <w:ind w:hanging="720" w:start="720" w:end="0"/>
        <w:rPr/>
      </w:pPr>
      <w:r>
        <w:rPr/>
      </w:r>
    </w:p>
    <w:p>
      <w:pPr>
        <w:pStyle w:val="Normal"/>
        <w:ind w:firstLine="720" w:start="720" w:end="0"/>
        <w:rPr/>
      </w:pPr>
      <w:r>
        <w:rPr/>
        <w:t>(ii)</w:t>
        <w:tab/>
        <w:t>"LUF-LUXIBOR-Reference Banks" means that the rate for a Reset Date will be determined on the basis of the rates at which deposits in Luxembourg Francs are offered by the Reference Banks at approximately 11:00 a.m., Luxembourg time, on the day that is two Luxembourg Banking Days preceding that Reset Date to prime banks in the Luxembourg interbank market for a period of the Designated Maturity commencing on that Reset Date and in a Representative Amount.  The Calculation Agent will request the principal Luxembourg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Luxembourg, selected by the Calculation Agent, at approximately 11:00 a.m., Luxembourg time, on that Reset Date for loans in Luxembourg Francs to leading European banks for a period of the Designated Maturity commencing on that Reset Date and in a Representative Amount.</w:t>
      </w:r>
      <w:r>
        <w:rPr>
          <w:b/>
        </w:rPr>
        <w:t>]</w:t>
      </w:r>
    </w:p>
    <w:p>
      <w:pPr>
        <w:pStyle w:val="Normal"/>
        <w:rPr>
          <w:b/>
        </w:rPr>
      </w:pPr>
      <w:r>
        <w:rPr>
          <w:b/>
        </w:rPr>
      </w:r>
    </w:p>
    <w:p>
      <w:pPr>
        <w:pStyle w:val="Normal"/>
        <w:keepNext w:val="true"/>
        <w:ind w:start="720" w:end="0"/>
        <w:rPr/>
      </w:pPr>
      <w:r>
        <w:rPr>
          <w:b/>
          <w:i/>
        </w:rPr>
        <w:t>(j)</w:t>
      </w:r>
      <w:r>
        <w:rPr/>
        <w:tab/>
      </w:r>
      <w:r>
        <w:rPr>
          <w:b/>
          <w:i/>
        </w:rPr>
        <w:t>Portuguese Escudo.</w:t>
      </w:r>
    </w:p>
    <w:p>
      <w:pPr>
        <w:pStyle w:val="Normal"/>
        <w:keepNext w:val="true"/>
        <w:ind w:hanging="720" w:start="720" w:end="0"/>
        <w:rPr>
          <w:b/>
          <w:i/>
          <w:i/>
        </w:rPr>
      </w:pPr>
      <w:r>
        <w:rPr>
          <w:b/>
          <w:i/>
        </w:rPr>
      </w:r>
    </w:p>
    <w:p>
      <w:pPr>
        <w:pStyle w:val="Normal"/>
        <w:ind w:firstLine="720" w:start="720" w:end="0"/>
        <w:rPr/>
      </w:pPr>
      <w:r>
        <w:rPr/>
        <w:t>(i)</w:t>
        <w:tab/>
        <w:t>"PTE-LIBOR-BBA" means that the rate for a Reset Date will be the rate for deposits in Portuguese Escudos for a period of the Designated Maturity which appears on the Telerate Page 3770 as of 11:00 a.m., London time, on the day that is two London Banking Days preceding that Reset Date.  If such rate does not appear on the Telerate Page 3770, the rate for that Reset Date will be determined as if the parties had specified "PTE-LIBOR-Reference Banks" as the applicable Floating Rate Option.</w:t>
      </w:r>
    </w:p>
    <w:p>
      <w:pPr>
        <w:pStyle w:val="Normal"/>
        <w:ind w:hanging="720" w:start="720" w:end="0"/>
        <w:rPr/>
      </w:pPr>
      <w:r>
        <w:rPr/>
      </w:r>
    </w:p>
    <w:p>
      <w:pPr>
        <w:pStyle w:val="Normal"/>
        <w:ind w:firstLine="720" w:start="720" w:end="0"/>
        <w:rPr/>
      </w:pPr>
      <w:r>
        <w:rPr/>
        <w:t>(ii)</w:t>
        <w:tab/>
        <w:t>"PTE-LIBOR-Reference Banks" means that the rate for a Reset Date will be determined on the basis of the rates at which deposits in Portuguese Escudos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London, selected by the Calculation Agent, at approximately 11:00 a.m., London time, on that Reset Date for loans in Portuguese Escudos to leading European banks for a period of the Designated Maturity commencing on that Reset Date and in a Representative Amount.</w:t>
      </w:r>
    </w:p>
    <w:p>
      <w:pPr>
        <w:pStyle w:val="Normal"/>
        <w:tabs>
          <w:tab w:val="left" w:pos="720" w:leader="none"/>
        </w:tabs>
        <w:ind w:hanging="1440" w:start="1440" w:end="0"/>
        <w:rPr/>
      </w:pPr>
      <w:r>
        <w:rPr/>
      </w:r>
    </w:p>
    <w:p>
      <w:pPr>
        <w:pStyle w:val="Normal"/>
        <w:ind w:firstLine="720" w:start="720" w:end="0"/>
        <w:rPr/>
      </w:pPr>
      <w:r>
        <w:rPr/>
        <w:t>(iii)</w:t>
        <w:tab/>
        <w:t>"PTE-LISBOR-LBOA" means that the rate for a Reset Date will be the rate for deposits in Portuguese Escudos for a period of the Designated Maturity which appears on the Reuters Screen LBOA Page as of 11:00 a.m., Lisbon time, on the day that is two Lisbon Banking Days preceding that Reset Date.  If such rate does not appear on the Reuters Screen LBOA Page, the rate for that Reset Date will be determined as if the parties had specified "PTE-LISBOR-Reference Banks" as the applicable Floating Rate Option.</w:t>
      </w:r>
    </w:p>
    <w:p>
      <w:pPr>
        <w:pStyle w:val="Normal"/>
        <w:tabs>
          <w:tab w:val="left" w:pos="720" w:leader="none"/>
        </w:tabs>
        <w:rPr/>
      </w:pPr>
      <w:r>
        <w:rPr/>
      </w:r>
    </w:p>
    <w:p>
      <w:pPr>
        <w:pStyle w:val="Normal"/>
        <w:ind w:firstLine="720" w:start="720" w:end="0"/>
        <w:rPr/>
      </w:pPr>
      <w:r>
        <w:rPr/>
        <w:t>(iv)</w:t>
        <w:tab/>
        <w:t>"PTE-LISBOR-LBOF" means that the rate for a Reset Date will be the rate for deposits in Portuguese Escudos for a period of the Designated Maturity which appears on the Reuters Screen LBOF Page as of 11:00 a.m., Lisbon time, on the day that is two Lisbon Banking Days preceding that Reset Date.  If such rate does not appear on the Reuters Screen LBOF Page, the rate for that Reset Date will be determined as if the parties had specified "PTE-LISBOR-Reference Banks" as the applicable Floating Rate Option.</w:t>
      </w:r>
    </w:p>
    <w:p>
      <w:pPr>
        <w:pStyle w:val="Normal"/>
        <w:tabs>
          <w:tab w:val="left" w:pos="720" w:leader="none"/>
        </w:tabs>
        <w:ind w:hanging="1440" w:start="1440" w:end="0"/>
        <w:rPr/>
      </w:pPr>
      <w:r>
        <w:rPr/>
      </w:r>
    </w:p>
    <w:p>
      <w:pPr>
        <w:pStyle w:val="Normal"/>
        <w:ind w:firstLine="720" w:start="720" w:end="0"/>
        <w:rPr/>
      </w:pPr>
      <w:r>
        <w:rPr/>
        <w:t>(v)</w:t>
        <w:tab/>
        <w:t>"PTE-LISBOR-Reference Banks" means that the rate for a Reset Date will be determined on the basis of the rates at which deposits in Portuguese Escudos are offered by the Reference Banks at approximately 11:00 a.m., Lisbon time, on the day that is two Lisbon Banking Days preceding that Reset Date to prime banks in the Lisbon interbank market for a period of the Designated Maturity commencing on that Reset Date and in a Representative Amount.  The Calculation Agent will request the principal Lisbon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Lisbon, selected by the Calculation Agent, at approximately 11:00 a.m., Lisbon time, on that Reset Date for loans in Portuguese Escudos to leading European banks for a period of the Designated Maturity commencing on that Reset Date and in a Representative Amount.</w:t>
      </w:r>
    </w:p>
    <w:p>
      <w:pPr>
        <w:pStyle w:val="Normal"/>
        <w:rPr/>
      </w:pPr>
      <w:r>
        <w:rPr/>
      </w:r>
    </w:p>
    <w:p>
      <w:pPr>
        <w:pStyle w:val="Normal"/>
        <w:keepNext w:val="true"/>
        <w:ind w:start="720" w:end="0"/>
        <w:rPr>
          <w:b/>
          <w:i/>
          <w:i/>
        </w:rPr>
      </w:pPr>
      <w:r>
        <w:rPr>
          <w:b/>
          <w:i/>
        </w:rPr>
        <w:t>(k)</w:t>
        <w:tab/>
        <w:t>Spanish Peseta.</w:t>
      </w:r>
    </w:p>
    <w:p>
      <w:pPr>
        <w:pStyle w:val="Normal"/>
        <w:keepNext w:val="true"/>
        <w:ind w:hanging="720" w:start="720" w:end="0"/>
        <w:rPr>
          <w:b/>
          <w:i/>
          <w:i/>
        </w:rPr>
      </w:pPr>
      <w:r>
        <w:rPr>
          <w:b/>
          <w:i/>
        </w:rPr>
      </w:r>
    </w:p>
    <w:p>
      <w:pPr>
        <w:pStyle w:val="Normal"/>
        <w:ind w:firstLine="720" w:start="720" w:end="0"/>
        <w:rPr/>
      </w:pPr>
      <w:r>
        <w:rPr/>
        <w:t>(i)</w:t>
        <w:tab/>
        <w:t>"SPP-LIBOR-BBA" means that the rate for a Reset Date will be the rate for deposits in Spanish Pesetas for a period of the Designated Maturity which appears on the Telerate Page 3740 as of 11:00 a.m., London time, on the day that is two London Banking Days preceding that Reset Date.  If such rate does not appear on the Telerate Page 3740, the rate for that Reset Date will be determined as if the parties had specified "SPP-LIBOR-Reference Banks" as the applicable Floating Rate Option.</w:t>
      </w:r>
    </w:p>
    <w:p>
      <w:pPr>
        <w:pStyle w:val="Normal"/>
        <w:ind w:hanging="720" w:start="720" w:end="0"/>
        <w:rPr/>
      </w:pPr>
      <w:r>
        <w:rPr/>
      </w:r>
    </w:p>
    <w:p>
      <w:pPr>
        <w:pStyle w:val="Normal"/>
        <w:ind w:firstLine="720" w:start="720" w:end="0"/>
        <w:rPr/>
      </w:pPr>
      <w:r>
        <w:rPr/>
        <w:t>(ii)</w:t>
        <w:tab/>
        <w:t>"SPP-LIBOR-Reference Banks" means that the rate for a Reset Date will be determined on the basis of the rates at which deposits in Spanish Pesetas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Madrid, selected by the Calculation Agent, at approximately 11:00 a.m., Madrid time, on that Reset Date for loans in Spanish Pesetas to leading European banks for a period of the Designated Maturity commencing on that Reset Date and in a Representative Amount.</w:t>
      </w:r>
    </w:p>
    <w:p>
      <w:pPr>
        <w:pStyle w:val="Normal"/>
        <w:tabs>
          <w:tab w:val="left" w:pos="720" w:leader="none"/>
        </w:tabs>
        <w:ind w:firstLine="720" w:end="0"/>
        <w:rPr/>
      </w:pPr>
      <w:r>
        <w:rPr/>
      </w:r>
    </w:p>
    <w:p>
      <w:pPr>
        <w:pStyle w:val="Normal"/>
        <w:ind w:firstLine="720" w:start="720" w:end="0"/>
        <w:rPr/>
      </w:pPr>
      <w:r>
        <w:rPr/>
        <w:t>(iii)</w:t>
        <w:tab/>
        <w:t>"SPP-MIBOR-BANDE" means that the rate for a Reset Date will be the rate for deposits in Spanish Pesetas for a period of the Designated Maturity which appears on the Reuters Screen BANDE Page as of 11:00 a.m., Madrid time, on that Reset Date.  If such rate does not appear on the Reuters Screen BANDE Page, the rate for that Reset Date will be determined as if the parties had specified "SPP-MIBOR-Reference Banks" as the applicable Floating Rate Option.</w:t>
      </w:r>
    </w:p>
    <w:p>
      <w:pPr>
        <w:pStyle w:val="Normal"/>
        <w:ind w:hanging="720" w:start="720" w:end="0"/>
        <w:rPr/>
      </w:pPr>
      <w:r>
        <w:rPr/>
      </w:r>
    </w:p>
    <w:p>
      <w:pPr>
        <w:pStyle w:val="Normal"/>
        <w:ind w:firstLine="720" w:start="720" w:end="0"/>
        <w:rPr/>
      </w:pPr>
      <w:r>
        <w:rPr/>
        <w:t>(iv)</w:t>
        <w:tab/>
        <w:t>"SPP-MIBOR-Reference Banks" means that the rate for a Reset Date will be determined on the basis of the rates at which deposits in Spanish Pesetas are offered by the Reference Banks at approximately 11:00 a.m., Madrid time, on that Reset Date to prime banks in the Madrid interbank market for a period of the Designated Maturity commencing on that Reset Date and in a Representative Amount.  The Calculation Agent will request the principal office in Spain of each of the Reference Banks to provide a quotation of its rate.  If at least two quotations are provided, the rate for that Reset Date will be the arithmetic mean of the quotations.  If only one quotation is provided, the rate for that Reset Date will be equal to such quotation.  If no quotations are provided as requested, the rate for that Reset Date will be the arithmetic mean of the rates quoted by major banks in London, selected by the Calculation Agent, at approximately 11:00 a.m., Madrid time, on that Reset Date for loans in Spanish Pesetas to leading European banks for a period of the Designated Maturity commencing on that Reset Date and in a Representative Amount.</w:t>
      </w:r>
    </w:p>
    <w:p>
      <w:pPr>
        <w:pStyle w:val="Normal"/>
        <w:rPr/>
      </w:pPr>
      <w:r>
        <w:rPr/>
      </w:r>
    </w:p>
    <w:p>
      <w:pPr>
        <w:pStyle w:val="Normal"/>
        <w:ind w:firstLine="720" w:start="720" w:end="0"/>
        <w:rPr/>
      </w:pPr>
      <w:r>
        <w:rPr/>
        <w:t>(v)</w:t>
        <w:tab/>
        <w:t xml:space="preserve">"SPP-Annual Swap Rate" means that the rate for a Reset Date will be the semi-annual swap rate for Spanish Peseta swap transactions with a maturity of the Designated Maturity, expressed as a percentage, which appears on the Telerate Page 42285 under the heading "MEAN" as of 11:00 a.m., London time, on the day that is two London Banking Days preceding that Reset Date.  If such rate does not appear on the Telerate Page 42285, the rate for that Reset Date will be determined as if the parties had specified "SPP-Annual Swap Rate-Reference Banks" as the applicable Floating Rate Option. </w:t>
      </w:r>
    </w:p>
    <w:p>
      <w:pPr>
        <w:pStyle w:val="Normal"/>
        <w:ind w:firstLine="720" w:end="0"/>
        <w:rPr/>
      </w:pPr>
      <w:r>
        <w:rPr/>
      </w:r>
    </w:p>
    <w:p>
      <w:pPr>
        <w:pStyle w:val="Normal"/>
        <w:ind w:firstLine="720" w:start="720" w:end="0"/>
        <w:rPr/>
      </w:pPr>
      <w:r>
        <w:rPr/>
        <w:t>(vi)</w:t>
        <w:tab/>
        <w:t>"SPP-Annual Swap Rate-Reference Banks" means that the rate for a Reset Date will be a percentage determined on the basis of the mid-market annual swap rate quotations provided by the Reference Banks at approximately 11:00 a.m., London time, on the day that is two London Banking Days preceding that Reset Date, and, for this purpose, the mid-market annual swap rate means the mean of the bid and offered rates for the annual fixed leg of a fixed-for-floating Spanish Peseta interest rate swap transaction with a term equal to the Designated Maturity commencing on that Reset Date and in a Representative Amount with an acknowledged dealer of good credit in the swap market, where the floating leg is equivalent to SPP-LIBOR-BBA with a Designated Maturity of six months on a 30/360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rPr>
          <w:b/>
        </w:rPr>
      </w:pPr>
      <w:r>
        <w:rPr>
          <w:b/>
        </w:rPr>
      </w:r>
    </w:p>
    <w:p>
      <w:pPr>
        <w:pStyle w:val="Normal"/>
        <w:spacing w:lineRule="exact" w:line="260"/>
        <w:ind w:firstLine="720" w:end="0"/>
        <w:rPr/>
      </w:pPr>
      <w:r>
        <w:rPr>
          <w:b/>
        </w:rPr>
        <w:t xml:space="preserve">Section 3.2. National Currency Unit Reference Banks.  </w:t>
      </w:r>
      <w:r>
        <w:rPr/>
        <w:t>For purposes of Section 7.5(c) of the Definitions, the Reference Banks for each of the following Floating Rate Options are indicated below:</w:t>
      </w:r>
    </w:p>
    <w:p>
      <w:pPr>
        <w:pStyle w:val="Normal"/>
        <w:spacing w:lineRule="exact" w:line="260"/>
        <w:ind w:firstLine="720" w:end="0"/>
        <w:rPr/>
      </w:pPr>
      <w:r>
        <w:rPr/>
      </w:r>
    </w:p>
    <w:p>
      <w:pPr>
        <w:pStyle w:val="Normal"/>
        <w:ind w:firstLine="720" w:start="720" w:end="0"/>
        <w:rPr/>
      </w:pPr>
      <w:r>
        <w:rPr/>
        <w:t>(i)</w:t>
        <w:tab/>
        <w:t>for purposes of the ATS-VIBOR Floating Rate Option, four major banks in the Vienna interbank market;</w:t>
      </w:r>
    </w:p>
    <w:p>
      <w:pPr>
        <w:pStyle w:val="Normal"/>
        <w:spacing w:lineRule="exact" w:line="260"/>
        <w:ind w:firstLine="720" w:start="720" w:end="0"/>
        <w:rPr/>
      </w:pPr>
      <w:r>
        <w:rPr/>
      </w:r>
    </w:p>
    <w:p>
      <w:pPr>
        <w:pStyle w:val="Normal"/>
        <w:ind w:firstLine="720" w:start="720" w:end="0"/>
        <w:rPr/>
      </w:pPr>
      <w:r>
        <w:rPr/>
        <w:t>(ii)</w:t>
        <w:tab/>
        <w:t>for purposes of the ATS-Annual Swap Rate Floating Rate Option, five leading swap dealers in the interbank market;</w:t>
      </w:r>
    </w:p>
    <w:p>
      <w:pPr>
        <w:pStyle w:val="Normal"/>
        <w:spacing w:lineRule="exact" w:line="260"/>
        <w:ind w:firstLine="720" w:start="720" w:end="0"/>
        <w:rPr/>
      </w:pPr>
      <w:r>
        <w:rPr/>
      </w:r>
    </w:p>
    <w:p>
      <w:pPr>
        <w:pStyle w:val="Normal"/>
        <w:ind w:firstLine="720" w:start="720" w:end="0"/>
        <w:rPr/>
      </w:pPr>
      <w:r>
        <w:rPr/>
        <w:t>(iii)</w:t>
        <w:tab/>
        <w:t>for purposes of any BIBOR Floating Rate Option, four major banks in the Brussels interbank market;</w:t>
      </w:r>
    </w:p>
    <w:p>
      <w:pPr>
        <w:pStyle w:val="Normal"/>
        <w:spacing w:lineRule="exact" w:line="260"/>
        <w:rPr/>
      </w:pPr>
      <w:r>
        <w:rPr/>
      </w:r>
    </w:p>
    <w:p>
      <w:pPr>
        <w:pStyle w:val="Normal"/>
        <w:ind w:firstLine="720" w:start="720" w:end="0"/>
        <w:rPr/>
      </w:pPr>
      <w:r>
        <w:rPr/>
        <w:t>(iv)</w:t>
        <w:tab/>
        <w:t>for purposes of the DEM-FIBOR-ISDB, DEM-FIBOR-FIBO-OLD and DEM-FIBOR-Reference Banks Floating Rate Options, four major banks in the Frankfurt interbank market;</w:t>
      </w:r>
    </w:p>
    <w:p>
      <w:pPr>
        <w:pStyle w:val="Normal"/>
        <w:spacing w:lineRule="exact" w:line="260"/>
        <w:ind w:firstLine="720" w:start="720" w:end="0"/>
        <w:rPr/>
      </w:pPr>
      <w:r>
        <w:rPr/>
      </w:r>
    </w:p>
    <w:p>
      <w:pPr>
        <w:pStyle w:val="Normal"/>
        <w:ind w:firstLine="720" w:start="720" w:end="0"/>
        <w:rPr/>
      </w:pPr>
      <w:r>
        <w:rPr/>
        <w:t>(v)</w:t>
        <w:tab/>
        <w:t>for purposes of the DEM-FIBOR-GBA and DEM-FIBOR-FIBO Floating Rate Options, the banks nominated through the German Banking Association to the German Bundesbank (or such other bank or monetary authority as may replace the Bundesbank) which calculate and publish that rate;</w:t>
      </w:r>
    </w:p>
    <w:p>
      <w:pPr>
        <w:pStyle w:val="Normal"/>
        <w:spacing w:lineRule="exact" w:line="260"/>
        <w:ind w:firstLine="720" w:start="720" w:end="0"/>
        <w:rPr/>
      </w:pPr>
      <w:r>
        <w:rPr/>
      </w:r>
    </w:p>
    <w:p>
      <w:pPr>
        <w:pStyle w:val="Normal"/>
        <w:ind w:firstLine="720" w:start="720" w:end="0"/>
        <w:rPr/>
      </w:pPr>
      <w:r>
        <w:rPr/>
        <w:t>(vi)</w:t>
        <w:tab/>
        <w:t>for purposes of the DEM-Annual Swap Rate and DEM-ISDA-Swap Rate Floating Rate Options, five leading swap dealers in the interbank market;</w:t>
      </w:r>
    </w:p>
    <w:p>
      <w:pPr>
        <w:pStyle w:val="Normal"/>
        <w:spacing w:lineRule="exact" w:line="260"/>
        <w:ind w:firstLine="720" w:start="720" w:end="0"/>
        <w:rPr/>
      </w:pPr>
      <w:r>
        <w:rPr/>
      </w:r>
    </w:p>
    <w:p>
      <w:pPr>
        <w:pStyle w:val="Normal"/>
        <w:ind w:firstLine="720" w:start="720" w:end="0"/>
        <w:rPr/>
      </w:pPr>
      <w:r>
        <w:rPr/>
        <w:t>(vii)</w:t>
        <w:tab/>
        <w:t>for purposes of any NLG-AIBOR Floating Rate Option, four major banks in the Amsterdam interbank market;</w:t>
      </w:r>
    </w:p>
    <w:p>
      <w:pPr>
        <w:pStyle w:val="Normal"/>
        <w:spacing w:lineRule="exact" w:line="260"/>
        <w:rPr/>
      </w:pPr>
      <w:r>
        <w:rPr/>
      </w:r>
    </w:p>
    <w:p>
      <w:pPr>
        <w:pStyle w:val="Normal"/>
        <w:ind w:firstLine="720" w:start="720" w:end="0"/>
        <w:rPr/>
      </w:pPr>
      <w:r>
        <w:rPr/>
        <w:t>(viii)</w:t>
        <w:tab/>
        <w:t>for purposes of any FIM-HELIBOR Floating Rate Option, five major banks in the Helsinki interbank market;</w:t>
      </w:r>
    </w:p>
    <w:p>
      <w:pPr>
        <w:pStyle w:val="Normal"/>
        <w:spacing w:lineRule="exact" w:line="260"/>
        <w:ind w:firstLine="720" w:start="720" w:end="0"/>
        <w:rPr/>
      </w:pPr>
      <w:r>
        <w:rPr/>
      </w:r>
    </w:p>
    <w:p>
      <w:pPr>
        <w:pStyle w:val="Normal"/>
        <w:ind w:firstLine="720" w:start="720" w:end="0"/>
        <w:rPr/>
      </w:pPr>
      <w:r>
        <w:rPr/>
        <w:t>(ix)</w:t>
        <w:tab/>
        <w:t>for purposes of any PIBOR Floating Rate Option, four major banks in the Paris interbank market;</w:t>
      </w:r>
    </w:p>
    <w:p>
      <w:pPr>
        <w:pStyle w:val="Normal"/>
        <w:spacing w:lineRule="exact" w:line="260"/>
        <w:ind w:firstLine="720" w:start="720" w:end="0"/>
        <w:rPr/>
      </w:pPr>
      <w:r>
        <w:rPr/>
      </w:r>
    </w:p>
    <w:p>
      <w:pPr>
        <w:pStyle w:val="Normal"/>
        <w:ind w:firstLine="720" w:start="720" w:end="0"/>
        <w:rPr/>
      </w:pPr>
      <w:r>
        <w:rPr/>
        <w:t>(x)</w:t>
        <w:tab/>
        <w:t>for purposes of the FRF-Annual Swap Rate Floating Rate Option, five leading swap dealers in the interbank market;</w:t>
      </w:r>
    </w:p>
    <w:p>
      <w:pPr>
        <w:pStyle w:val="Normal"/>
        <w:spacing w:lineRule="exact" w:line="260"/>
        <w:ind w:firstLine="720" w:start="720" w:end="0"/>
        <w:rPr/>
      </w:pPr>
      <w:r>
        <w:rPr/>
      </w:r>
    </w:p>
    <w:p>
      <w:pPr>
        <w:pStyle w:val="Normal"/>
        <w:ind w:firstLine="720" w:start="720" w:end="0"/>
        <w:rPr/>
      </w:pPr>
      <w:r>
        <w:rPr/>
        <w:t>(xi)</w:t>
        <w:tab/>
        <w:t>for purposes of the IEP</w:t>
        <w:noBreakHyphen/>
        <w:t>DIBOR Floating Rate Option, four major banks in the Dublin interbank market;</w:t>
      </w:r>
    </w:p>
    <w:p>
      <w:pPr>
        <w:pStyle w:val="Normal"/>
        <w:spacing w:lineRule="exact" w:line="260"/>
        <w:ind w:firstLine="720" w:start="720" w:end="0"/>
        <w:rPr/>
      </w:pPr>
      <w:r>
        <w:rPr/>
      </w:r>
    </w:p>
    <w:p>
      <w:pPr>
        <w:pStyle w:val="Normal"/>
        <w:ind w:firstLine="720" w:start="720" w:end="0"/>
        <w:rPr/>
      </w:pPr>
      <w:r>
        <w:rPr/>
        <w:t>(xii)</w:t>
        <w:tab/>
        <w:t>for purposes of the ITL-Annual Swap Rate Floating Rate Option, five leading swap dealers in the interbank market;</w:t>
      </w:r>
    </w:p>
    <w:p>
      <w:pPr>
        <w:pStyle w:val="Normal"/>
        <w:spacing w:lineRule="exact" w:line="260"/>
        <w:ind w:firstLine="720" w:start="720" w:end="0"/>
        <w:rPr/>
      </w:pPr>
      <w:r>
        <w:rPr/>
      </w:r>
    </w:p>
    <w:p>
      <w:pPr>
        <w:pStyle w:val="Normal"/>
        <w:ind w:firstLine="720" w:start="720" w:end="0"/>
        <w:rPr/>
      </w:pPr>
      <w:r>
        <w:rPr/>
        <w:t>(xiii)</w:t>
        <w:tab/>
        <w:t>for purposes of any LUXIBOR Floating Rate Option, four major banks in the Luxembourg interbank market;</w:t>
      </w:r>
    </w:p>
    <w:p>
      <w:pPr>
        <w:pStyle w:val="Normal"/>
        <w:spacing w:lineRule="exact" w:line="260"/>
        <w:ind w:firstLine="720" w:start="720" w:end="0"/>
        <w:rPr/>
      </w:pPr>
      <w:r>
        <w:rPr/>
      </w:r>
    </w:p>
    <w:p>
      <w:pPr>
        <w:pStyle w:val="Normal"/>
        <w:ind w:firstLine="720" w:start="720" w:end="0"/>
        <w:rPr/>
      </w:pPr>
      <w:r>
        <w:rPr/>
        <w:t>(xiv)</w:t>
        <w:tab/>
        <w:t>for purposes of any PTE-LISBOR Floating Rate Option, five major banks in the Lisbon interbank market;</w:t>
      </w:r>
    </w:p>
    <w:p>
      <w:pPr>
        <w:pStyle w:val="Normal"/>
        <w:spacing w:lineRule="exact" w:line="260"/>
        <w:ind w:firstLine="720" w:start="720" w:end="0"/>
        <w:rPr/>
      </w:pPr>
      <w:r>
        <w:rPr/>
      </w:r>
    </w:p>
    <w:p>
      <w:pPr>
        <w:pStyle w:val="Normal"/>
        <w:ind w:firstLine="720" w:start="720" w:end="0"/>
        <w:rPr/>
      </w:pPr>
      <w:r>
        <w:rPr/>
        <w:t>(xv)</w:t>
        <w:tab/>
        <w:t>for purposes of the SPP-MIBOR Floating Rate Option, four major banks in the Madrid interbank market; and</w:t>
      </w:r>
    </w:p>
    <w:p>
      <w:pPr>
        <w:pStyle w:val="Normal"/>
        <w:spacing w:lineRule="exact" w:line="260"/>
        <w:ind w:firstLine="720" w:start="720" w:end="0"/>
        <w:rPr/>
      </w:pPr>
      <w:r>
        <w:rPr/>
      </w:r>
    </w:p>
    <w:p>
      <w:pPr>
        <w:pStyle w:val="Normal"/>
        <w:ind w:firstLine="720" w:start="720" w:end="0"/>
        <w:rPr/>
      </w:pPr>
      <w:r>
        <w:rPr/>
        <w:t>(xvi)</w:t>
        <w:tab/>
        <w:t>for purposes of the SPP-Annual Swap Rate Floating Rate Option, five leading swap dealers in the interbank market.</w:t>
      </w:r>
    </w:p>
    <w:p>
      <w:pPr>
        <w:pStyle w:val="Normal"/>
        <w:ind w:firstLine="720" w:start="720" w:end="0"/>
        <w:rPr/>
      </w:pPr>
      <w:r>
        <w:rPr/>
      </w:r>
    </w:p>
    <w:p>
      <w:pPr>
        <w:pStyle w:val="Normal"/>
        <w:ind w:firstLine="720" w:end="0"/>
        <w:rPr/>
      </w:pPr>
      <w:r>
        <w:rPr>
          <w:b/>
        </w:rPr>
        <w:t xml:space="preserve">Section 3.3. Corrections to Published and Displayed Rates.  </w:t>
      </w:r>
      <w:r>
        <w:rPr/>
        <w:t>For purposes of determining a Relevant Rate for any day:</w:t>
      </w:r>
    </w:p>
    <w:p>
      <w:pPr>
        <w:pStyle w:val="Normal"/>
        <w:rPr>
          <w:b/>
        </w:rPr>
      </w:pPr>
      <w:r>
        <w:rPr>
          <w:b/>
        </w:rPr>
      </w:r>
    </w:p>
    <w:p>
      <w:pPr>
        <w:pStyle w:val="Normal"/>
        <w:ind w:firstLine="720" w:end="0"/>
        <w:rPr/>
      </w:pPr>
      <w:r>
        <w:rPr/>
        <w:t>(a)</w:t>
        <w:tab/>
        <w:t>in any case where the Relevant Rate for a day is based on information obtained from the Reuters Screen CDC Index Page, that Relevant Rate will be subject to the corrections, if any, published for the applicable Reset Date, not later than the last day of the calendar month during which the Reset Date occurred, in the publication entitled Cote Officielle opposite the heading "Taux annuel monetaire" (if the applicable Floating Rate Option is FRF-TAM-CDC), or under the heading "TMM" (if the applicable Floating Rate Option is FRF-T4M-CDC-COMPOUND or FRF-T4M-CDC) or under the heading "TMP" (if the applicable Floating Rate Option is FRF-TMP-CDC AVERAGE); and</w:t>
      </w:r>
    </w:p>
    <w:p>
      <w:pPr>
        <w:pStyle w:val="Normal"/>
        <w:spacing w:lineRule="exact" w:line="260"/>
        <w:ind w:firstLine="720" w:end="0"/>
        <w:rPr/>
      </w:pPr>
      <w:r>
        <w:rPr/>
      </w:r>
    </w:p>
    <w:p>
      <w:pPr>
        <w:pStyle w:val="Normal"/>
        <w:ind w:firstLine="720" w:end="0"/>
        <w:rPr/>
      </w:pPr>
      <w:r>
        <w:rPr/>
        <w:t>(b)</w:t>
        <w:tab/>
        <w:t>in the event that a party to any Swap Transaction notifies the other party to the Swap Transaction of any correction referred to in subsection (a) above no later than 15 days after the expiration of the period referred to in such subsection, an appropriate amount will be payable as a result of such correction (whether such correction is made or such notice is given before or after the Termination Date of the Swap Transaction), together with interest on that amount at a rate per annum equal to the cost (without proof or evidence of any actual cost) to the relevant party (as certified by it) of funding that amount for the period from, and including, the day on which, based on such correction, a payment in the incorrect amount was first made to, but excluding, the day of payment of the refund or payment resulting from such correction.</w:t>
      </w:r>
      <w:r>
        <w:br w:type="page"/>
      </w:r>
    </w:p>
    <w:p>
      <w:pPr>
        <w:pStyle w:val="Normal"/>
        <w:jc w:val="center"/>
        <w:rPr>
          <w:b/>
        </w:rPr>
      </w:pPr>
      <w:r>
        <w:rPr>
          <w:b/>
        </w:rPr>
        <w:t>ARTICLE 4</w:t>
      </w:r>
    </w:p>
    <w:p>
      <w:pPr>
        <w:pStyle w:val="Normal"/>
        <w:jc w:val="center"/>
        <w:rPr>
          <w:b/>
        </w:rPr>
      </w:pPr>
      <w:r>
        <w:rPr>
          <w:b/>
        </w:rPr>
      </w:r>
    </w:p>
    <w:p>
      <w:pPr>
        <w:pStyle w:val="Normal"/>
        <w:jc w:val="center"/>
        <w:rPr>
          <w:b/>
        </w:rPr>
      </w:pPr>
      <w:r>
        <w:rPr>
          <w:b/>
        </w:rPr>
        <w:t>ROUNDING; INTERPOLATION; DISCOUNTING</w:t>
      </w:r>
    </w:p>
    <w:p>
      <w:pPr>
        <w:pStyle w:val="Normal"/>
        <w:rPr>
          <w:b/>
        </w:rPr>
      </w:pPr>
      <w:r>
        <w:rPr>
          <w:b/>
        </w:rPr>
      </w:r>
    </w:p>
    <w:p>
      <w:pPr>
        <w:pStyle w:val="Normal"/>
        <w:ind w:firstLine="720" w:end="0"/>
        <w:rPr/>
      </w:pPr>
      <w:r>
        <w:rPr>
          <w:b/>
        </w:rPr>
        <w:t>Section 4. Rounding of National Currency Unit Amounts.</w:t>
      </w:r>
      <w:r>
        <w:rPr/>
        <w:t xml:space="preserve">  All Italian Lira and Spanish Peseta amounts will be rounded to the nearest Italian Lira or Spanish Peseta (with one half Italian Lira or Spanish Peseta being rounded up).</w:t>
      </w:r>
    </w:p>
    <w:p>
      <w:pPr>
        <w:pStyle w:val="Normal"/>
        <w:ind w:firstLine="720" w:end="0"/>
        <w:rPr/>
      </w:pPr>
      <w:r>
        <w:rPr/>
      </w:r>
      <w:r>
        <w:br w:type="page"/>
      </w:r>
    </w:p>
    <w:p>
      <w:pPr>
        <w:pStyle w:val="Normal"/>
        <w:jc w:val="center"/>
        <w:rPr>
          <w:b/>
        </w:rPr>
      </w:pPr>
      <w:r>
        <w:rPr>
          <w:b/>
        </w:rPr>
        <w:t>ARTICLE 5</w:t>
      </w:r>
    </w:p>
    <w:p>
      <w:pPr>
        <w:pStyle w:val="Normal"/>
        <w:jc w:val="center"/>
        <w:rPr>
          <w:b/>
        </w:rPr>
      </w:pPr>
      <w:r>
        <w:rPr>
          <w:b/>
        </w:rPr>
      </w:r>
    </w:p>
    <w:p>
      <w:pPr>
        <w:pStyle w:val="Normal"/>
        <w:jc w:val="center"/>
        <w:rPr>
          <w:b/>
        </w:rPr>
      </w:pPr>
      <w:r>
        <w:rPr>
          <w:b/>
        </w:rPr>
        <w:t>CASH SETTLEMENT</w:t>
      </w:r>
    </w:p>
    <w:p>
      <w:pPr>
        <w:pStyle w:val="Normal"/>
        <w:ind w:firstLine="720" w:end="0"/>
        <w:rPr>
          <w:b/>
        </w:rPr>
      </w:pPr>
      <w:r>
        <w:rPr>
          <w:b/>
        </w:rPr>
      </w:r>
    </w:p>
    <w:p>
      <w:pPr>
        <w:pStyle w:val="Normal"/>
        <w:ind w:firstLine="720" w:end="0"/>
        <w:rPr/>
      </w:pPr>
      <w:r>
        <w:rPr>
          <w:b/>
        </w:rPr>
        <w:t xml:space="preserve">Section 5. Cash Settlement Valuation Dates.  </w:t>
      </w:r>
      <w:r>
        <w:rPr/>
        <w:t xml:space="preserve">For purposes of Section 17.2(c)(i) of the Definitions, the Cash Settlement Valuation Date for each of the following National Currency Units and Floating Rate Options will be determined as indicated below: </w:t>
      </w:r>
    </w:p>
    <w:p>
      <w:pPr>
        <w:pStyle w:val="Normal"/>
        <w:ind w:firstLine="720" w:start="720" w:end="0"/>
        <w:rPr/>
      </w:pPr>
      <w:r>
        <w:rPr/>
      </w:r>
    </w:p>
    <w:p>
      <w:pPr>
        <w:pStyle w:val="Normal"/>
        <w:ind w:firstLine="720" w:start="720" w:end="0"/>
        <w:rPr>
          <w:b/>
        </w:rPr>
      </w:pPr>
      <w:r>
        <w:rPr>
          <w:b/>
        </w:rPr>
      </w:r>
    </w:p>
    <w:tbl>
      <w:tblPr>
        <w:tblW w:w="7796" w:type="dxa"/>
        <w:jc w:val="start"/>
        <w:tblInd w:w="959" w:type="dxa"/>
        <w:tblLayout w:type="fixed"/>
        <w:tblCellMar>
          <w:top w:w="0" w:type="dxa"/>
          <w:start w:w="108" w:type="dxa"/>
          <w:bottom w:w="0" w:type="dxa"/>
          <w:end w:w="108" w:type="dxa"/>
        </w:tblCellMar>
      </w:tblPr>
      <w:tblGrid>
        <w:gridCol w:w="2693"/>
        <w:gridCol w:w="2552"/>
        <w:gridCol w:w="2551"/>
      </w:tblGrid>
      <w:tr>
        <w:trPr/>
        <w:tc>
          <w:tcPr>
            <w:tcW w:w="2693" w:type="dxa"/>
            <w:tcBorders/>
          </w:tcPr>
          <w:p>
            <w:pPr>
              <w:pStyle w:val="Normal"/>
              <w:jc w:val="start"/>
              <w:rPr>
                <w:b/>
              </w:rPr>
            </w:pPr>
            <w:r>
              <w:rPr>
                <w:b/>
              </w:rPr>
              <w:t>National Currency Unit</w:t>
            </w:r>
          </w:p>
        </w:tc>
        <w:tc>
          <w:tcPr>
            <w:tcW w:w="2552" w:type="dxa"/>
            <w:tcBorders/>
          </w:tcPr>
          <w:p>
            <w:pPr>
              <w:pStyle w:val="Normal"/>
              <w:jc w:val="center"/>
              <w:rPr>
                <w:b/>
              </w:rPr>
            </w:pPr>
            <w:r>
              <w:rPr>
                <w:b/>
              </w:rPr>
              <w:t>Floating Rate Option</w:t>
            </w:r>
          </w:p>
        </w:tc>
        <w:tc>
          <w:tcPr>
            <w:tcW w:w="2551" w:type="dxa"/>
            <w:tcBorders/>
          </w:tcPr>
          <w:p>
            <w:pPr>
              <w:pStyle w:val="Normal"/>
              <w:jc w:val="end"/>
              <w:rPr>
                <w:b/>
              </w:rPr>
            </w:pPr>
            <w:r>
              <w:rPr>
                <w:b/>
              </w:rPr>
              <w:t>Cash Settlement Valuation Date</w:t>
            </w:r>
          </w:p>
          <w:p>
            <w:pPr>
              <w:pStyle w:val="Normal"/>
              <w:jc w:val="end"/>
              <w:rPr>
                <w:b/>
              </w:rPr>
            </w:pPr>
            <w:r>
              <w:rPr>
                <w:b/>
              </w:rPr>
            </w:r>
          </w:p>
        </w:tc>
      </w:tr>
      <w:tr>
        <w:trPr/>
        <w:tc>
          <w:tcPr>
            <w:tcW w:w="2693" w:type="dxa"/>
            <w:tcBorders/>
          </w:tcPr>
          <w:p>
            <w:pPr>
              <w:pStyle w:val="Normal"/>
              <w:rPr/>
            </w:pPr>
            <w:r>
              <w:rPr/>
              <w:t>Spanish Peseta</w:t>
            </w:r>
          </w:p>
        </w:tc>
        <w:tc>
          <w:tcPr>
            <w:tcW w:w="2552" w:type="dxa"/>
            <w:tcBorders/>
          </w:tcPr>
          <w:p>
            <w:pPr>
              <w:pStyle w:val="Normal"/>
              <w:rPr/>
            </w:pPr>
            <w:r>
              <w:rPr/>
              <w:t>"SPP-MIBOR-BANDE"</w:t>
            </w:r>
          </w:p>
        </w:tc>
        <w:tc>
          <w:tcPr>
            <w:tcW w:w="2551" w:type="dxa"/>
            <w:tcBorders/>
          </w:tcPr>
          <w:p>
            <w:pPr>
              <w:pStyle w:val="Normal"/>
              <w:jc w:val="end"/>
              <w:rPr/>
            </w:pPr>
            <w:r>
              <w:rPr/>
              <w:t>The Cash Settlement Payment Date or Mandatory Early Termination Date, as appropriate</w:t>
            </w:r>
          </w:p>
          <w:p>
            <w:pPr>
              <w:pStyle w:val="Normal"/>
              <w:jc w:val="end"/>
              <w:rPr/>
            </w:pPr>
            <w:r>
              <w:rPr/>
            </w:r>
          </w:p>
        </w:tc>
      </w:tr>
      <w:tr>
        <w:trPr/>
        <w:tc>
          <w:tcPr>
            <w:tcW w:w="2693" w:type="dxa"/>
            <w:tcBorders/>
          </w:tcPr>
          <w:p>
            <w:pPr>
              <w:pStyle w:val="Normal"/>
              <w:rPr/>
            </w:pPr>
            <w:r>
              <w:rPr/>
              <w:t>Spanish Peseta</w:t>
            </w:r>
          </w:p>
        </w:tc>
        <w:tc>
          <w:tcPr>
            <w:tcW w:w="2552" w:type="dxa"/>
            <w:tcBorders/>
          </w:tcPr>
          <w:p>
            <w:pPr>
              <w:pStyle w:val="Normal"/>
              <w:rPr/>
            </w:pPr>
            <w:r>
              <w:rPr/>
              <w:t>"SPP-MIBOR-Reference Banks"</w:t>
            </w:r>
          </w:p>
        </w:tc>
        <w:tc>
          <w:tcPr>
            <w:tcW w:w="2551" w:type="dxa"/>
            <w:tcBorders/>
          </w:tcPr>
          <w:p>
            <w:pPr>
              <w:pStyle w:val="Normal"/>
              <w:jc w:val="end"/>
              <w:rPr/>
            </w:pPr>
            <w:r>
              <w:rPr/>
              <w:t>The Cash Settlement Payment Date or Mandatory Early Termination Date, as appropriate</w:t>
            </w:r>
          </w:p>
          <w:p>
            <w:pPr>
              <w:pStyle w:val="Normal"/>
              <w:jc w:val="end"/>
              <w:rPr/>
            </w:pPr>
            <w:r>
              <w:rPr/>
            </w:r>
          </w:p>
        </w:tc>
      </w:tr>
      <w:tr>
        <w:trPr/>
        <w:tc>
          <w:tcPr>
            <w:tcW w:w="2693" w:type="dxa"/>
            <w:tcBorders/>
          </w:tcPr>
          <w:p>
            <w:pPr>
              <w:pStyle w:val="Normal"/>
              <w:rPr/>
            </w:pPr>
            <w:r>
              <w:rPr/>
              <w:t>French Franc</w:t>
            </w:r>
          </w:p>
        </w:tc>
        <w:tc>
          <w:tcPr>
            <w:tcW w:w="2552" w:type="dxa"/>
            <w:tcBorders/>
          </w:tcPr>
          <w:p>
            <w:pPr>
              <w:pStyle w:val="Normal"/>
              <w:rPr/>
            </w:pPr>
            <w:r>
              <w:rPr/>
              <w:t>"FRF-PIBOR-PIBO"</w:t>
            </w:r>
          </w:p>
        </w:tc>
        <w:tc>
          <w:tcPr>
            <w:tcW w:w="2551" w:type="dxa"/>
            <w:tcBorders/>
          </w:tcPr>
          <w:p>
            <w:pPr>
              <w:pStyle w:val="Normal"/>
              <w:jc w:val="end"/>
              <w:rPr/>
            </w:pPr>
            <w:r>
              <w:rPr/>
              <w:t>One Valuation Business Day preceding either the Cash Settlement Payment Date or the Mandatory Early Termination Date, as appropriate</w:t>
            </w:r>
          </w:p>
          <w:p>
            <w:pPr>
              <w:pStyle w:val="Normal"/>
              <w:jc w:val="end"/>
              <w:rPr/>
            </w:pPr>
            <w:r>
              <w:rPr/>
            </w:r>
          </w:p>
        </w:tc>
      </w:tr>
      <w:tr>
        <w:trPr/>
        <w:tc>
          <w:tcPr>
            <w:tcW w:w="2693" w:type="dxa"/>
            <w:tcBorders/>
          </w:tcPr>
          <w:p>
            <w:pPr>
              <w:pStyle w:val="Normal"/>
              <w:rPr/>
            </w:pPr>
            <w:r>
              <w:rPr/>
              <w:t>French Franc</w:t>
            </w:r>
          </w:p>
        </w:tc>
        <w:tc>
          <w:tcPr>
            <w:tcW w:w="2552" w:type="dxa"/>
            <w:tcBorders/>
          </w:tcPr>
          <w:p>
            <w:pPr>
              <w:pStyle w:val="Normal"/>
              <w:rPr/>
            </w:pPr>
            <w:r>
              <w:rPr/>
              <w:t>"FRF-PIBOR-AFB"</w:t>
            </w:r>
          </w:p>
        </w:tc>
        <w:tc>
          <w:tcPr>
            <w:tcW w:w="2551" w:type="dxa"/>
            <w:tcBorders/>
          </w:tcPr>
          <w:p>
            <w:pPr>
              <w:pStyle w:val="Normal"/>
              <w:jc w:val="end"/>
              <w:rPr/>
            </w:pPr>
            <w:r>
              <w:rPr/>
              <w:t>One Valuation Business Day preceding either the Cash Settlement Payment Date or the Mandatory Early Termination Date, as appropriate</w:t>
            </w:r>
          </w:p>
          <w:p>
            <w:pPr>
              <w:pStyle w:val="Normal"/>
              <w:jc w:val="end"/>
              <w:rPr/>
            </w:pPr>
            <w:r>
              <w:rPr/>
            </w:r>
          </w:p>
        </w:tc>
      </w:tr>
      <w:tr>
        <w:trPr/>
        <w:tc>
          <w:tcPr>
            <w:tcW w:w="2693" w:type="dxa"/>
            <w:tcBorders/>
          </w:tcPr>
          <w:p>
            <w:pPr>
              <w:pStyle w:val="Normal"/>
              <w:rPr/>
            </w:pPr>
            <w:r>
              <w:rPr/>
              <w:t>French Franc</w:t>
            </w:r>
          </w:p>
        </w:tc>
        <w:tc>
          <w:tcPr>
            <w:tcW w:w="2552" w:type="dxa"/>
            <w:tcBorders/>
          </w:tcPr>
          <w:p>
            <w:pPr>
              <w:pStyle w:val="Normal"/>
              <w:rPr/>
            </w:pPr>
            <w:r>
              <w:rPr/>
              <w:t>"FRF-PIBOR2-AFB"</w:t>
            </w:r>
          </w:p>
        </w:tc>
        <w:tc>
          <w:tcPr>
            <w:tcW w:w="2551" w:type="dxa"/>
            <w:tcBorders/>
          </w:tcPr>
          <w:p>
            <w:pPr>
              <w:pStyle w:val="Normal"/>
              <w:jc w:val="end"/>
              <w:rPr/>
            </w:pPr>
            <w:r>
              <w:rPr/>
              <w:t>One Valuation Business Day preceding either the Cash Settlement Payment Date or the Mandatory Early Termination Date, as appropriate</w:t>
            </w:r>
          </w:p>
          <w:p>
            <w:pPr>
              <w:pStyle w:val="Normal"/>
              <w:jc w:val="end"/>
              <w:rPr/>
            </w:pPr>
            <w:r>
              <w:rPr/>
            </w:r>
          </w:p>
        </w:tc>
      </w:tr>
      <w:tr>
        <w:trPr/>
        <w:tc>
          <w:tcPr>
            <w:tcW w:w="2693" w:type="dxa"/>
            <w:tcBorders/>
          </w:tcPr>
          <w:p>
            <w:pPr>
              <w:pStyle w:val="Normal"/>
              <w:rPr/>
            </w:pPr>
            <w:r>
              <w:rPr/>
              <w:t>French Franc</w:t>
            </w:r>
          </w:p>
        </w:tc>
        <w:tc>
          <w:tcPr>
            <w:tcW w:w="2552" w:type="dxa"/>
            <w:tcBorders/>
          </w:tcPr>
          <w:p>
            <w:pPr>
              <w:pStyle w:val="Normal"/>
              <w:rPr/>
            </w:pPr>
            <w:r>
              <w:rPr/>
              <w:t>"FRF-PIBOR-Reference Banks"</w:t>
            </w:r>
          </w:p>
        </w:tc>
        <w:tc>
          <w:tcPr>
            <w:tcW w:w="2551" w:type="dxa"/>
            <w:tcBorders/>
          </w:tcPr>
          <w:p>
            <w:pPr>
              <w:pStyle w:val="Normal"/>
              <w:jc w:val="end"/>
              <w:rPr/>
            </w:pPr>
            <w:r>
              <w:rPr/>
              <w:t>One Valuation Business Day preceding either the Cash Settlement Payment Date or the Mandatory Early Termination Date, as appropriate</w:t>
            </w:r>
          </w:p>
        </w:tc>
      </w:tr>
    </w:tbl>
    <w:p>
      <w:pPr>
        <w:pStyle w:val="Normal"/>
        <w:ind w:firstLine="720" w:start="720" w:end="0"/>
        <w:rPr>
          <w:b/>
        </w:rPr>
      </w:pPr>
      <w:r>
        <w:rPr>
          <w:b/>
        </w:rPr>
      </w:r>
      <w:r>
        <w:br w:type="page"/>
      </w:r>
    </w:p>
    <w:p>
      <w:pPr>
        <w:sectPr>
          <w:headerReference w:type="even" r:id="rId2"/>
          <w:headerReference w:type="default" r:id="rId3"/>
          <w:footerReference w:type="even" r:id="rId4"/>
          <w:footerReference w:type="default" r:id="rId5"/>
          <w:type w:val="nextPage"/>
          <w:pgSz w:w="12240" w:h="15840"/>
          <w:pgMar w:left="1440" w:right="1440" w:gutter="0" w:header="720" w:top="1797" w:footer="1077" w:bottom="1440"/>
          <w:pgNumType w:start="1" w:fmt="decimal"/>
          <w:formProt w:val="false"/>
          <w:textDirection w:val="lrTb"/>
          <w:docGrid w:type="default" w:linePitch="360" w:charSpace="0"/>
        </w:sectPr>
        <w:pStyle w:val="Normal"/>
        <w:jc w:val="center"/>
        <w:rPr>
          <w:b/>
          <w:sz w:val="48"/>
        </w:rPr>
      </w:pPr>
      <w:r>
        <w:rPr>
          <w:b/>
        </w:rPr>
        <w:t>INDEX OF TERMS</w:t>
      </w:r>
    </w:p>
    <w:p>
      <w:pPr>
        <w:pStyle w:val="Normal"/>
        <w:rPr>
          <w:b/>
          <w:sz w:val="48"/>
        </w:rPr>
      </w:pPr>
      <w:r>
        <w:rPr>
          <w:b/>
          <w:sz w:val="48"/>
        </w:rPr>
        <w:t>DRAFT(3):  10.02.00</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ind w:start="720" w:end="0"/>
        <w:rPr>
          <w:b/>
          <w:sz w:val="28"/>
        </w:rPr>
      </w:pPr>
      <w:r>
        <w:rPr>
          <w:b/>
          <w:sz w:val="28"/>
        </w:rPr>
      </w:r>
    </w:p>
    <w:p>
      <w:pPr>
        <w:pStyle w:val="Normal"/>
        <w:ind w:start="720" w:end="0"/>
        <w:rPr/>
      </w:pPr>
      <w:r>
        <w:rPr/>
        <w:t>__________________________________________________________________________</w:t>
      </w:r>
    </w:p>
    <w:p>
      <w:pPr>
        <w:pStyle w:val="Normal"/>
        <w:ind w:start="720" w:end="0"/>
        <w:rPr/>
      </w:pPr>
      <w:r>
        <w:rPr/>
      </w:r>
    </w:p>
    <w:p>
      <w:pPr>
        <w:pStyle w:val="Normal"/>
        <w:ind w:start="720" w:end="0"/>
        <w:rPr>
          <w:b/>
          <w:sz w:val="80"/>
        </w:rPr>
      </w:pPr>
      <w:r>
        <w:rPr>
          <w:b/>
          <w:sz w:val="80"/>
        </w:rPr>
        <w:t>NCU SUPPLEMENT</w:t>
      </w:r>
    </w:p>
    <w:p>
      <w:pPr>
        <w:pStyle w:val="Normal"/>
        <w:ind w:start="720" w:end="0"/>
        <w:rPr>
          <w:b/>
          <w:sz w:val="40"/>
        </w:rPr>
      </w:pPr>
      <w:r>
        <w:rPr>
          <w:b/>
          <w:sz w:val="40"/>
        </w:rPr>
      </w:r>
    </w:p>
    <w:p>
      <w:pPr>
        <w:pStyle w:val="Normal"/>
        <w:ind w:start="720" w:end="0"/>
        <w:rPr>
          <w:b/>
          <w:sz w:val="80"/>
        </w:rPr>
      </w:pPr>
      <w:r>
        <w:rPr>
          <w:b/>
          <w:sz w:val="80"/>
        </w:rPr>
        <w:t>to the</w:t>
      </w:r>
    </w:p>
    <w:p>
      <w:pPr>
        <w:pStyle w:val="Normal"/>
        <w:ind w:start="720" w:end="0"/>
        <w:rPr>
          <w:b/>
          <w:sz w:val="40"/>
        </w:rPr>
      </w:pPr>
      <w:r>
        <w:rPr>
          <w:b/>
          <w:sz w:val="40"/>
        </w:rPr>
      </w:r>
    </w:p>
    <w:p>
      <w:pPr>
        <w:pStyle w:val="Normal"/>
        <w:ind w:start="720" w:end="0"/>
        <w:rPr>
          <w:sz w:val="80"/>
        </w:rPr>
      </w:pPr>
      <w:r>
        <w:rPr>
          <w:b/>
          <w:sz w:val="80"/>
        </w:rPr>
        <w:t>2000 ISDA Definitions</w:t>
      </w:r>
    </w:p>
    <w:p>
      <w:pPr>
        <w:pStyle w:val="Normal"/>
        <w:ind w:start="720" w:end="0"/>
        <w:rPr/>
      </w:pPr>
      <w:r>
        <w:rPr/>
        <w:t>__________________________________________________________________________</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sz w:val="96"/>
        </w:rPr>
      </w:pPr>
      <w:r>
        <w:rPr>
          <w:b/>
          <w:sz w:val="96"/>
        </w:rPr>
        <w:t>ISDA</w:t>
      </w:r>
      <w:r>
        <w:rPr>
          <w:b/>
          <w:sz w:val="24"/>
        </w:rPr>
        <w:t xml:space="preserve"> </w:t>
      </w:r>
      <w:r>
        <w:rPr>
          <w:rFonts w:eastAsia="Symbol" w:cs="Symbol" w:ascii="Symbol" w:hAnsi="Symbol"/>
          <w:sz w:val="40"/>
          <w:vertAlign w:val="subscript"/>
        </w:rPr>
        <w:sym w:font="Symbol" w:char="f0d2"/>
      </w:r>
    </w:p>
    <w:p>
      <w:pPr>
        <w:pStyle w:val="Normal"/>
        <w:ind w:start="720" w:end="0"/>
        <w:rPr>
          <w:sz w:val="96"/>
        </w:rPr>
      </w:pPr>
      <w:r>
        <w:rPr>
          <w:sz w:val="96"/>
        </w:rPr>
      </w:r>
    </w:p>
    <w:p>
      <w:pPr>
        <w:pStyle w:val="Normal"/>
        <w:ind w:start="720" w:end="0"/>
        <w:rPr/>
      </w:pPr>
      <w:r>
        <w:rPr/>
      </w:r>
    </w:p>
    <w:p>
      <w:pPr>
        <w:pStyle w:val="Normal"/>
        <w:ind w:start="720" w:end="0"/>
        <w:rPr>
          <w:b/>
        </w:rPr>
      </w:pPr>
      <w:r>
        <w:rPr>
          <w:b/>
        </w:rPr>
        <w:t>INTERNATIONAL SWAPS AND DERIVATIVES ASSOCIATION, INC.</w:t>
      </w:r>
    </w:p>
    <w:p>
      <w:pPr>
        <w:pStyle w:val="Normal"/>
        <w:rPr>
          <w:b/>
        </w:rPr>
      </w:pPr>
      <w:r>
        <w:rPr>
          <w:b/>
        </w:rPr>
      </w:r>
    </w:p>
    <w:p>
      <w:pPr>
        <w:pStyle w:val="Normal"/>
        <w:rPr>
          <w:b/>
          <w:sz w:val="16"/>
        </w:rPr>
      </w:pPr>
      <w:r>
        <w:rPr>
          <w:b/>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r>
        <w:br w:type="page"/>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Copyright </w:t>
      </w:r>
      <w:r>
        <w:rPr>
          <w:rFonts w:eastAsia="Symbol" w:cs="Symbol" w:ascii="Symbol" w:hAnsi="Symbol"/>
        </w:rPr>
        <w:sym w:font="Symbol" w:char="f0e3"/>
      </w:r>
      <w:r>
        <w:rPr/>
        <w:t xml:space="preserve"> 2000 by</w:t>
      </w:r>
    </w:p>
    <w:p>
      <w:pPr>
        <w:pStyle w:val="Normal"/>
        <w:rPr/>
      </w:pPr>
      <w:r>
        <w:rPr/>
        <w:t>INTERNATIONAL SWAPS AND DERIVATIVES ASSOCIATION, INC.</w:t>
      </w:r>
    </w:p>
    <w:p>
      <w:pPr>
        <w:pStyle w:val="Normal"/>
        <w:rPr/>
      </w:pPr>
      <w:r>
        <w:rPr/>
        <w:t>600 Fifth Avenue, 27th Floor</w:t>
      </w:r>
    </w:p>
    <w:p>
      <w:pPr>
        <w:pStyle w:val="Normal"/>
        <w:rPr/>
      </w:pPr>
      <w:r>
        <w:rPr/>
        <w:t>Rockefeller Center</w:t>
      </w:r>
    </w:p>
    <w:p>
      <w:pPr>
        <w:pStyle w:val="Normal"/>
        <w:rPr/>
      </w:pPr>
      <w:r>
        <w:rPr/>
        <w:t>New York, N.Y. 10020-2302</w:t>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720" w:top="1800" w:footer="1080" w:bottom="1440"/>
          <w:pgNumType w:start="1" w:fmt="decimal"/>
          <w:formProt w:val="false"/>
          <w:titlePg/>
          <w:textDirection w:val="lrTb"/>
          <w:docGrid w:type="default" w:linePitch="360" w:charSpace="0"/>
        </w:sectPr>
        <w:pStyle w:val="Normal"/>
        <w:jc w:val="center"/>
        <w:rPr>
          <w:b/>
        </w:rPr>
      </w:pPr>
      <w:r>
        <w:rPr>
          <w:b/>
        </w:rPr>
      </w:r>
    </w:p>
    <w:p>
      <w:pPr>
        <w:pStyle w:val="Normal"/>
        <w:jc w:val="center"/>
        <w:rPr>
          <w:b/>
        </w:rPr>
      </w:pPr>
      <w:r>
        <w:rPr>
          <w:b/>
        </w:rPr>
        <w:t>TABLE OF CONTENTS</w:t>
      </w:r>
    </w:p>
    <w:p>
      <w:pPr>
        <w:pStyle w:val="Normal"/>
        <w:jc w:val="end"/>
        <w:rPr>
          <w:b/>
          <w:u w:val="single"/>
        </w:rPr>
      </w:pPr>
      <w:r>
        <w:rPr>
          <w:b/>
          <w:u w:val="single"/>
        </w:rPr>
        <w:t>Page</w:t>
      </w:r>
    </w:p>
    <w:p>
      <w:pPr>
        <w:pStyle w:val="Normal"/>
        <w:jc w:val="end"/>
        <w:rPr>
          <w:b/>
          <w:u w:val="single"/>
        </w:rPr>
      </w:pPr>
      <w:r>
        <w:rPr>
          <w:b/>
          <w:u w:val="single"/>
        </w:rPr>
      </w:r>
    </w:p>
    <w:p>
      <w:pPr>
        <w:pStyle w:val="Normal"/>
        <w:tabs>
          <w:tab w:val="clear" w:pos="720"/>
          <w:tab w:val="right" w:pos="7938" w:leader="dot"/>
        </w:tabs>
        <w:jc w:val="start"/>
        <w:rPr/>
      </w:pPr>
      <w:r>
        <w:rPr/>
        <w:t>INTRODUCTION TO NCU SUPPLEMENT</w:t>
      </w:r>
    </w:p>
    <w:p>
      <w:pPr>
        <w:pStyle w:val="Normal"/>
        <w:tabs>
          <w:tab w:val="clear" w:pos="720"/>
          <w:tab w:val="right" w:pos="7938" w:leader="dot"/>
        </w:tabs>
        <w:jc w:val="start"/>
        <w:rPr/>
      </w:pPr>
      <w:r>
        <w:rPr/>
        <w:t xml:space="preserve">TO THE 2000 ISDA DEFINITIONS </w:t>
        <w:tab/>
        <w:tab/>
        <w:t>ii</w:t>
      </w:r>
    </w:p>
    <w:p>
      <w:pPr>
        <w:pStyle w:val="Normal"/>
        <w:tabs>
          <w:tab w:val="clear" w:pos="720"/>
          <w:tab w:val="right" w:pos="7938" w:leader="dot"/>
        </w:tabs>
        <w:jc w:val="start"/>
        <w:rPr/>
      </w:pPr>
      <w:r>
        <w:rPr/>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ARTICLE 1</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CERTAIN GENERAL DEFINITIONS</w:t>
      </w:r>
    </w:p>
    <w:p>
      <w:pPr>
        <w:pStyle w:val="Normal"/>
        <w:tabs>
          <w:tab w:val="clear" w:pos="720"/>
          <w:tab w:val="left" w:pos="1985" w:leader="none"/>
          <w:tab w:val="right" w:pos="7938" w:leader="dot"/>
        </w:tabs>
        <w:rPr>
          <w:b/>
        </w:rPr>
      </w:pPr>
      <w:r>
        <w:rPr>
          <w:b/>
        </w:rPr>
      </w:r>
    </w:p>
    <w:p>
      <w:pPr>
        <w:pStyle w:val="Normal"/>
        <w:tabs>
          <w:tab w:val="clear" w:pos="720"/>
          <w:tab w:val="left" w:pos="1985" w:leader="none"/>
          <w:tab w:val="right" w:pos="7938" w:leader="dot"/>
        </w:tabs>
        <w:rPr/>
      </w:pPr>
      <w:r>
        <w:rPr/>
        <w:t>SECTION 1.1.</w:t>
        <w:tab/>
        <w:t>National Currency Unit</w:t>
        <w:tab/>
        <w:tab/>
        <w:t>1</w:t>
      </w:r>
    </w:p>
    <w:p>
      <w:pPr>
        <w:pStyle w:val="Normal"/>
        <w:tabs>
          <w:tab w:val="clear" w:pos="720"/>
          <w:tab w:val="left" w:pos="1985" w:leader="none"/>
          <w:tab w:val="right" w:pos="7938" w:leader="dot"/>
        </w:tabs>
        <w:rPr/>
      </w:pPr>
      <w:r>
        <w:rPr/>
        <w:t>SECTION 1.2.</w:t>
        <w:tab/>
        <w:t>Business Day</w:t>
        <w:tab/>
        <w:tab/>
        <w:t>1</w:t>
      </w:r>
    </w:p>
    <w:p>
      <w:pPr>
        <w:pStyle w:val="Normal"/>
        <w:tabs>
          <w:tab w:val="clear" w:pos="720"/>
          <w:tab w:val="left" w:pos="1985" w:leader="none"/>
          <w:tab w:val="right" w:pos="7938" w:leader="dot"/>
        </w:tabs>
        <w:jc w:val="start"/>
        <w:rPr/>
      </w:pPr>
      <w:r>
        <w:rPr/>
        <w:t>SECTION 1.3.</w:t>
        <w:tab/>
        <w:t>National Currency Units</w:t>
        <w:tab/>
        <w:tab/>
        <w:t>2</w:t>
      </w:r>
    </w:p>
    <w:p>
      <w:pPr>
        <w:pStyle w:val="Normal"/>
        <w:tabs>
          <w:tab w:val="clear" w:pos="720"/>
          <w:tab w:val="left" w:pos="1985" w:leader="none"/>
          <w:tab w:val="right" w:pos="7938" w:leader="dot"/>
        </w:tabs>
        <w:jc w:val="start"/>
        <w:rPr/>
      </w:pPr>
      <w:r>
        <w:rPr/>
        <w:t>SECTION 1.4.</w:t>
        <w:tab/>
        <w:t>ECU</w:t>
        <w:tab/>
        <w:tab/>
        <w:t>2</w:t>
      </w:r>
    </w:p>
    <w:p>
      <w:pPr>
        <w:pStyle w:val="Normal"/>
        <w:tabs>
          <w:tab w:val="clear" w:pos="720"/>
          <w:tab w:val="left" w:pos="1985" w:leader="none"/>
          <w:tab w:val="right" w:pos="7938" w:leader="dot"/>
        </w:tabs>
        <w:jc w:val="start"/>
        <w:rPr/>
      </w:pPr>
      <w:r>
        <w:rPr/>
        <w:t>SECTION 1.5.</w:t>
        <w:tab/>
        <w:t>National Currency Unit Conversion Rates</w:t>
        <w:tab/>
        <w:tab/>
        <w:t>3</w:t>
      </w:r>
    </w:p>
    <w:p>
      <w:pPr>
        <w:pStyle w:val="Normal"/>
        <w:tabs>
          <w:tab w:val="clear" w:pos="720"/>
          <w:tab w:val="left" w:pos="1985" w:leader="none"/>
          <w:tab w:val="right" w:pos="7938" w:leader="dot"/>
        </w:tabs>
        <w:jc w:val="start"/>
        <w:rPr/>
      </w:pPr>
      <w:r>
        <w:rPr/>
      </w:r>
    </w:p>
    <w:p>
      <w:pPr>
        <w:pStyle w:val="Normal"/>
        <w:tabs>
          <w:tab w:val="clear" w:pos="720"/>
          <w:tab w:val="left" w:pos="1985" w:leader="none"/>
          <w:tab w:val="right" w:pos="7938" w:leader="dot"/>
        </w:tabs>
        <w:jc w:val="center"/>
        <w:rPr>
          <w:b/>
        </w:rPr>
      </w:pPr>
      <w:r>
        <w:rPr>
          <w:b/>
        </w:rPr>
        <w:t>ARTICLE 2</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FLOATING AMOUNTS</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rPr/>
      </w:pPr>
      <w:r>
        <w:rPr/>
        <w:t>SECTION 2.</w:t>
        <w:tab/>
        <w:t>Floating Rate Day Count Fractions</w:t>
        <w:tab/>
        <w:tab/>
        <w:t>4</w:t>
      </w:r>
    </w:p>
    <w:p>
      <w:pPr>
        <w:pStyle w:val="Normal"/>
        <w:tabs>
          <w:tab w:val="clear" w:pos="720"/>
          <w:tab w:val="left" w:pos="1985" w:leader="none"/>
          <w:tab w:val="right" w:pos="7938" w:leader="dot"/>
        </w:tabs>
        <w:rPr/>
      </w:pPr>
      <w:r>
        <w:rPr/>
      </w:r>
    </w:p>
    <w:p>
      <w:pPr>
        <w:pStyle w:val="Normal"/>
        <w:tabs>
          <w:tab w:val="clear" w:pos="720"/>
          <w:tab w:val="left" w:pos="1985" w:leader="none"/>
          <w:tab w:val="right" w:pos="7938" w:leader="dot"/>
        </w:tabs>
        <w:jc w:val="center"/>
        <w:rPr>
          <w:b/>
        </w:rPr>
      </w:pPr>
      <w:r>
        <w:rPr>
          <w:b/>
        </w:rPr>
        <w:t>ARTICLE 3</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CALCULATION OF RATES</w:t>
      </w:r>
    </w:p>
    <w:p>
      <w:pPr>
        <w:pStyle w:val="Normal"/>
        <w:tabs>
          <w:tab w:val="clear" w:pos="720"/>
          <w:tab w:val="left" w:pos="1985" w:leader="none"/>
          <w:tab w:val="right" w:pos="7938" w:leader="dot"/>
        </w:tabs>
        <w:jc w:val="center"/>
        <w:rPr>
          <w:b/>
        </w:rPr>
      </w:pPr>
      <w:r>
        <w:rPr>
          <w:b/>
        </w:rPr>
        <w:t>FOR CERTAIN FLOATING RATE OPTIONS</w:t>
      </w:r>
    </w:p>
    <w:p>
      <w:pPr>
        <w:pStyle w:val="Normal"/>
        <w:tabs>
          <w:tab w:val="clear" w:pos="720"/>
          <w:tab w:val="left" w:pos="1985" w:leader="none"/>
          <w:tab w:val="right" w:pos="7938" w:leader="dot"/>
        </w:tabs>
        <w:jc w:val="center"/>
        <w:rPr/>
      </w:pPr>
      <w:r>
        <w:rPr/>
      </w:r>
    </w:p>
    <w:p>
      <w:pPr>
        <w:pStyle w:val="Normal"/>
        <w:tabs>
          <w:tab w:val="clear" w:pos="720"/>
          <w:tab w:val="left" w:pos="1985" w:leader="none"/>
          <w:tab w:val="right" w:pos="7938" w:leader="dot"/>
        </w:tabs>
        <w:jc w:val="start"/>
        <w:rPr/>
      </w:pPr>
      <w:r>
        <w:rPr/>
        <w:t>SECTION 3.1.</w:t>
        <w:tab/>
        <w:t>National Currency Unit Rate Options</w:t>
        <w:tab/>
        <w:tab/>
        <w:t>5</w:t>
      </w:r>
    </w:p>
    <w:p>
      <w:pPr>
        <w:pStyle w:val="Normal"/>
        <w:tabs>
          <w:tab w:val="clear" w:pos="720"/>
          <w:tab w:val="left" w:pos="1985" w:leader="none"/>
          <w:tab w:val="right" w:pos="7938" w:leader="dot"/>
        </w:tabs>
        <w:jc w:val="start"/>
        <w:rPr/>
      </w:pPr>
      <w:r>
        <w:rPr/>
        <w:t>SECTION 3.2.</w:t>
        <w:tab/>
        <w:t>National Currency Unit Reference Banks</w:t>
        <w:tab/>
        <w:tab/>
        <w:t>23</w:t>
      </w:r>
    </w:p>
    <w:p>
      <w:pPr>
        <w:pStyle w:val="Normal"/>
        <w:tabs>
          <w:tab w:val="clear" w:pos="720"/>
          <w:tab w:val="left" w:pos="1985" w:leader="none"/>
          <w:tab w:val="right" w:pos="7938" w:leader="dot"/>
        </w:tabs>
        <w:jc w:val="start"/>
        <w:rPr/>
      </w:pPr>
      <w:r>
        <w:rPr/>
        <w:t>SECTION 3.3.</w:t>
        <w:tab/>
        <w:t>Corrections to Published and Displayed Rates</w:t>
        <w:tab/>
        <w:tab/>
        <w:t>24</w:t>
      </w:r>
    </w:p>
    <w:p>
      <w:pPr>
        <w:pStyle w:val="Normal"/>
        <w:tabs>
          <w:tab w:val="clear" w:pos="720"/>
          <w:tab w:val="left" w:pos="1985" w:leader="none"/>
          <w:tab w:val="right" w:pos="7938" w:leader="dot"/>
        </w:tabs>
        <w:jc w:val="start"/>
        <w:rPr/>
      </w:pPr>
      <w:r>
        <w:rPr/>
      </w:r>
    </w:p>
    <w:p>
      <w:pPr>
        <w:pStyle w:val="Normal"/>
        <w:tabs>
          <w:tab w:val="clear" w:pos="720"/>
          <w:tab w:val="left" w:pos="1985" w:leader="none"/>
          <w:tab w:val="right" w:pos="7938" w:leader="dot"/>
        </w:tabs>
        <w:jc w:val="center"/>
        <w:rPr>
          <w:b/>
        </w:rPr>
      </w:pPr>
      <w:r>
        <w:rPr>
          <w:b/>
        </w:rPr>
        <w:t>ARTICLE 4</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ROUNDING; INTERPOLATION; DISCOUNTING</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rPr/>
      </w:pPr>
      <w:r>
        <w:rPr/>
        <w:t>SECTION 4.</w:t>
        <w:tab/>
        <w:t>Rounding of National Currency Unit Amounts</w:t>
        <w:tab/>
        <w:tab/>
        <w:t>26</w:t>
      </w:r>
    </w:p>
    <w:p>
      <w:pPr>
        <w:pStyle w:val="Normal"/>
        <w:tabs>
          <w:tab w:val="clear" w:pos="720"/>
          <w:tab w:val="left" w:pos="1985" w:leader="none"/>
          <w:tab w:val="right" w:pos="7938" w:leader="dot"/>
        </w:tabs>
        <w:rPr/>
      </w:pPr>
      <w:r>
        <w:rPr/>
      </w:r>
    </w:p>
    <w:p>
      <w:pPr>
        <w:pStyle w:val="Normal"/>
        <w:tabs>
          <w:tab w:val="clear" w:pos="720"/>
          <w:tab w:val="left" w:pos="1985" w:leader="none"/>
          <w:tab w:val="right" w:pos="7938" w:leader="dot"/>
        </w:tabs>
        <w:jc w:val="center"/>
        <w:rPr>
          <w:b/>
        </w:rPr>
      </w:pPr>
      <w:r>
        <w:rPr>
          <w:b/>
        </w:rPr>
        <w:t>ARTICLE 5</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CASH SETTLEMENT</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rPr/>
      </w:pPr>
      <w:r>
        <w:rPr/>
        <w:t>SECTION 5.</w:t>
        <w:tab/>
        <w:t>Cash Settlement Valuation Dates</w:t>
        <w:tab/>
        <w:tab/>
        <w:t>27</w:t>
      </w:r>
    </w:p>
    <w:p>
      <w:pPr>
        <w:pStyle w:val="Normal"/>
        <w:tabs>
          <w:tab w:val="clear" w:pos="720"/>
          <w:tab w:val="left" w:pos="1985" w:leader="none"/>
          <w:tab w:val="right" w:pos="7938" w:leader="dot"/>
        </w:tabs>
        <w:jc w:val="start"/>
        <w:rPr/>
      </w:pPr>
      <w:r>
        <w:rPr/>
      </w:r>
    </w:p>
    <w:p>
      <w:pPr>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440" w:right="1440" w:gutter="0" w:header="720" w:top="1800" w:footer="1080" w:bottom="1440"/>
          <w:pgNumType w:fmt="decimal"/>
          <w:formProt w:val="false"/>
          <w:titlePg/>
          <w:textDirection w:val="lrTb"/>
          <w:docGrid w:type="default" w:linePitch="360" w:charSpace="0"/>
        </w:sectPr>
        <w:pStyle w:val="Normal"/>
        <w:tabs>
          <w:tab w:val="clear" w:pos="720"/>
          <w:tab w:val="left" w:pos="1985" w:leader="none"/>
          <w:tab w:val="right" w:pos="7938" w:leader="dot"/>
        </w:tabs>
        <w:jc w:val="start"/>
        <w:rPr/>
      </w:pPr>
      <w:r>
        <w:rPr/>
        <w:t>INDEX OF TERMS</w:t>
        <w:tab/>
        <w:tab/>
        <w:tab/>
        <w:t>29</w:t>
      </w:r>
    </w:p>
    <w:p>
      <w:pPr>
        <w:pStyle w:val="Normal"/>
        <w:jc w:val="center"/>
        <w:rPr>
          <w:b/>
        </w:rPr>
      </w:pPr>
      <w:r>
        <w:rPr>
          <w:b/>
        </w:rPr>
        <w:t xml:space="preserve">INTRODUCTION TO THE NCU SUPPLEMENT TO THE </w:t>
      </w:r>
    </w:p>
    <w:p>
      <w:pPr>
        <w:pStyle w:val="Normal"/>
        <w:tabs>
          <w:tab w:val="clear" w:pos="720"/>
          <w:tab w:val="left" w:pos="2250" w:leader="none"/>
          <w:tab w:val="right" w:pos="7920" w:leader="dot"/>
          <w:tab w:val="center" w:pos="9000" w:leader="none"/>
        </w:tabs>
        <w:jc w:val="center"/>
        <w:rPr>
          <w:b/>
        </w:rPr>
      </w:pPr>
      <w:r>
        <w:rPr>
          <w:b/>
        </w:rPr>
        <w:t>2000 ISDA DEFINITIONS</w:t>
      </w:r>
    </w:p>
    <w:p>
      <w:pPr>
        <w:pStyle w:val="Normal"/>
        <w:tabs>
          <w:tab w:val="clear" w:pos="720"/>
          <w:tab w:val="left" w:pos="2250" w:leader="none"/>
          <w:tab w:val="right" w:pos="7920" w:leader="dot"/>
          <w:tab w:val="center" w:pos="9000" w:leader="none"/>
        </w:tabs>
        <w:jc w:val="start"/>
        <w:rPr>
          <w:b/>
        </w:rPr>
      </w:pPr>
      <w:r>
        <w:rPr>
          <w:b/>
        </w:rPr>
      </w:r>
    </w:p>
    <w:p>
      <w:pPr>
        <w:pStyle w:val="Normal"/>
        <w:tabs>
          <w:tab w:val="left" w:pos="720" w:leader="none"/>
          <w:tab w:val="left" w:pos="2250" w:leader="none"/>
          <w:tab w:val="right" w:pos="7920" w:leader="dot"/>
          <w:tab w:val="center" w:pos="9000" w:leader="none"/>
        </w:tabs>
        <w:rPr/>
      </w:pPr>
      <w:r>
        <w:rPr/>
        <w:tab/>
        <w:t>The NCU Supplement to the 2000 ISDA Definitions (the "Supplement") is intended for use in conjunction with the 2000 ISDA Definitions (the "Definitions") in confirmations of individual transactions governed by agreements such as the 1992 ISDA Master Agreements (the "ISDA Master Agreements") published by the International Swaps and Derivatives Association, Inc. ("ISDA").  Copies of the ISDA Master Agreements are available from the executive offices of ISDA.</w:t>
      </w:r>
    </w:p>
    <w:p>
      <w:pPr>
        <w:pStyle w:val="Normal"/>
        <w:tabs>
          <w:tab w:val="clear" w:pos="720"/>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rPr/>
      </w:pPr>
      <w:r>
        <w:rPr/>
        <w:tab/>
        <w:t>The Supplement, which supplements the Definitions, contains definitions and provisions relating to the former currencies of the member states of the European Union that have adopted the euro ("National Currency Units"), including definitions of the National Currency Units themselves, floating rate option definitions and certain other related definitions and provisions.</w:t>
      </w:r>
    </w:p>
    <w:p>
      <w:pPr>
        <w:pStyle w:val="Normal"/>
        <w:tabs>
          <w:tab w:val="left" w:pos="720" w:leader="none"/>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rPr/>
      </w:pPr>
      <w:r>
        <w:rPr/>
        <w:tab/>
        <w:t xml:space="preserve">The definitions and provisions in the Supplement will be deemed to be incorporated into a document that incorporates the Definitions to the extent necessary to give effect to a word or phrase used in that document.  The Supplement may also be incorporated into a document by wording in the document indicating that, or the extent to which, the document is subject to the 2000 ISDA Definitions (as supplemented by the NCU Supplement to the 2000 ISDA Definitions). </w:t>
      </w:r>
    </w:p>
    <w:p>
      <w:pPr>
        <w:pStyle w:val="Normal"/>
        <w:tabs>
          <w:tab w:val="left" w:pos="720" w:leader="none"/>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rPr/>
      </w:pPr>
      <w:r>
        <w:rPr/>
        <w:tab/>
        <w:t xml:space="preserve">This Supplement has been published to enable institutions to enter into trades denominated in National Currency Units until 1 January 2002.  It is anticipated that the provisions of the Supplement may be changed from time to time to reflect market practice.  It is also anticipated that other member states of the European Union will adopt the euro, and provisions relating or referring to their former currencies will be more appropriately contained in the Supplement rather than the Annex to the Definitions.  </w:t>
      </w:r>
      <w:r>
        <w:rPr>
          <w:b/>
        </w:rPr>
        <w:t>[</w:t>
      </w:r>
      <w:r>
        <w:rPr/>
        <w:t>Accordingly, the following provisions are being published in a loose-leaf format to accommodate such additions and changes.  At any time a copy of the then current version of the Supplement may be obtained by contacting ISDA.</w:t>
      </w:r>
      <w:r>
        <w:rPr>
          <w:b/>
        </w:rPr>
        <w:t>]</w:t>
      </w:r>
      <w:r>
        <w:rPr/>
        <w:t xml:space="preserve">  </w:t>
      </w:r>
      <w:r>
        <w:rPr>
          <w:b/>
        </w:rPr>
        <w:t>[</w:t>
      </w:r>
      <w:r>
        <w:rPr/>
        <w:t>ISDA also intends to make the latest version of the Supplement available on its website: www.isda.org.</w:t>
      </w:r>
      <w:r>
        <w:rPr>
          <w:b/>
        </w:rPr>
        <w:t>]</w:t>
      </w:r>
      <w:r>
        <w:rPr/>
        <w:t xml:space="preserve"> To avoid potential confusion, parties to a transaction may want to specify the version of the Supplement that is being incorporated by reference to a date (</w:t>
      </w:r>
      <w:r>
        <w:rPr>
          <w:i/>
        </w:rPr>
        <w:t>e.g.</w:t>
      </w:r>
      <w:r>
        <w:rPr/>
        <w:t>, March 2000 version") or an "as amended through" date (</w:t>
      </w:r>
      <w:r>
        <w:rPr>
          <w:i/>
        </w:rPr>
        <w:t>e.g.</w:t>
      </w:r>
      <w:r>
        <w:rPr/>
        <w:t xml:space="preserve">, "March 2000 version as amended through 1 January, 2001").  </w:t>
      </w:r>
      <w:r>
        <w:rPr>
          <w:b/>
          <w:i/>
        </w:rPr>
        <w:t>Unless otherwise agreed, where parties incorporate the Supplement into a document, or where the Supplement is deemed to be incorporated into a document that incorporates the Definitions in order to give effect to a word or phrase used in that document, they will be deemed to have incorporated the Supplement as amended through the date on which they enter into the relevant transaction</w:t>
      </w:r>
      <w:r>
        <w:rPr>
          <w:b/>
        </w:rPr>
        <w:t>.</w:t>
      </w:r>
    </w:p>
    <w:p>
      <w:pPr>
        <w:pStyle w:val="Normal"/>
        <w:tabs>
          <w:tab w:val="left" w:pos="720" w:leader="none"/>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rPr/>
      </w:pPr>
      <w:r>
        <w:rPr/>
        <w:tab/>
      </w:r>
      <w:r>
        <w:rPr>
          <w:i/>
        </w:rPr>
        <w:t>ISDA has no relationship with the organizations that have created or publish or provide the information that serves as a basis for the floating rate option definitions referred to in the Supplement.</w:t>
      </w:r>
      <w:r>
        <w:rPr/>
        <w:t xml:space="preserve">  </w:t>
      </w:r>
      <w:r>
        <w:rPr>
          <w:i/>
        </w:rPr>
        <w:t>ISDA does not assume any responsibility for the non-availability or miscalculation of, or any error or omission in, any of the floating rate options referred to in the Supplement.  ISDA assumes no responsibility for any use to which the Supplement may be put or for the use of any floating rate option definition in connection with a transaction evidenced by a document that incorporates the Supplement.</w:t>
      </w:r>
    </w:p>
    <w:p>
      <w:pPr>
        <w:pStyle w:val="Normal"/>
        <w:tabs>
          <w:tab w:val="left" w:pos="720" w:leader="none"/>
          <w:tab w:val="left" w:pos="2250" w:leader="none"/>
          <w:tab w:val="right" w:pos="7920" w:leader="dot"/>
          <w:tab w:val="center" w:pos="9000" w:leader="none"/>
        </w:tabs>
        <w:rPr/>
      </w:pPr>
      <w:r>
        <w:rPr/>
      </w:r>
    </w:p>
    <w:p>
      <w:pPr>
        <w:pStyle w:val="Normal"/>
        <w:jc w:val="center"/>
        <w:rPr/>
      </w:pPr>
      <w:r>
        <w:rPr/>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ICM:390121.5</w:t>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4605" cy="160655"/>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r>
      <w:rPr>
        <w:sz w:val="22"/>
      </w:rPr>
      <w:t xml:space="preserve">ii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enter" w:pos="4536" w:leader="none"/>
        <w:tab w:val="right" w:pos="8306" w:leader="none"/>
      </w:tabs>
      <w:jc w:val="start"/>
      <w:rPr/>
    </w:pPr>
    <w:r>
      <w:rPr>
        <w:sz w:val="16"/>
      </w:rPr>
      <w:t>ICM:390121.5</w:t>
      <w:tab/>
    </w:r>
    <w:r>
      <w:rPr/>
      <w:t>ii</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4680" w:leader="none"/>
        <w:tab w:val="right" w:pos="9360" w:leader="none"/>
      </w:tabs>
      <w:jc w:val="start"/>
      <w:rPr>
        <w:sz w:val="16"/>
      </w:rPr>
    </w:pPr>
    <w:r>
      <w:rPr>
        <w:sz w:val="16"/>
      </w:rPr>
      <w:t>ICM:390121.5</w:t>
    </w:r>
    <w:r>
      <mc:AlternateContent>
        <mc:Choice Requires="wps">
          <w:drawing>
            <wp:anchor behindDoc="0" distT="0" distB="0" distL="0" distR="0" simplePos="0" locked="0" layoutInCell="0" allowOverlap="1" relativeHeight="25">
              <wp:simplePos x="0" y="0"/>
              <wp:positionH relativeFrom="page">
                <wp:posOffset>3848735</wp:posOffset>
              </wp:positionH>
              <wp:positionV relativeFrom="paragraph">
                <wp:posOffset>1270</wp:posOffset>
              </wp:positionV>
              <wp:extent cx="14033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color w:val="000000"/>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1pt;mso-position-vertical-relative:text;margin-left:303.05pt;mso-position-horizontal-relative:page">
              <v:fill opacity="0f"/>
              <v:textbox inset="0in,0in,0in,0in">
                <w:txbxContent>
                  <w:p>
                    <w:pPr>
                      <w:pStyle w:val="Footer"/>
                      <w:rPr>
                        <w:rStyle w:val="PageNumber"/>
                        <w:color w:val="000000"/>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ICM:390121.5</w:t>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14605" cy="160655"/>
              <wp:effectExtent l="0" t="0" r="0" b="0"/>
              <wp:wrapSquare wrapText="bothSides"/>
              <wp:docPr id="3" name="Frame6"/>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4680" w:leader="none"/>
        <w:tab w:val="right" w:pos="9360" w:leader="none"/>
      </w:tabs>
      <w:jc w:val="start"/>
      <w:rPr>
        <w:sz w:val="16"/>
      </w:rPr>
    </w:pPr>
    <w:r>
      <w:rPr>
        <w:sz w:val="16"/>
      </w:rPr>
      <w:t>ICM:390121.5</w:t>
    </w:r>
    <w:r>
      <mc:AlternateContent>
        <mc:Choice Requires="wps">
          <w:drawing>
            <wp:anchor behindDoc="0" distT="0" distB="0" distL="0" distR="0" simplePos="0" locked="0" layoutInCell="0" allowOverlap="1" relativeHeight="19">
              <wp:simplePos x="0" y="0"/>
              <wp:positionH relativeFrom="page">
                <wp:posOffset>3848735</wp:posOffset>
              </wp:positionH>
              <wp:positionV relativeFrom="paragraph">
                <wp:posOffset>1270</wp:posOffset>
              </wp:positionV>
              <wp:extent cx="70485" cy="160655"/>
              <wp:effectExtent l="0" t="0" r="0" b="0"/>
              <wp:wrapSquare wrapText="bothSides"/>
              <wp:docPr id="4" name="Frame5"/>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1pt;mso-position-vertical-relative:text;margin-left:303.0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ICM:390121.5</w:t>
    </w:r>
    <w:r>
      <mc:AlternateContent>
        <mc:Choice Requires="wps">
          <w:drawing>
            <wp:anchor behindDoc="0" distT="0" distB="0" distL="0" distR="0" simplePos="0" locked="0" layoutInCell="0" allowOverlap="1" relativeHeight="40">
              <wp:simplePos x="0" y="0"/>
              <wp:positionH relativeFrom="page">
                <wp:posOffset>3932555</wp:posOffset>
              </wp:positionH>
              <wp:positionV relativeFrom="paragraph">
                <wp:posOffset>24130</wp:posOffset>
              </wp:positionV>
              <wp:extent cx="14605" cy="16065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1.9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r>
      <w:rPr>
        <w:sz w:val="22"/>
      </w:rPr>
      <w:t xml:space="preserve">ii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start"/>
      <w:rPr/>
    </w:pPr>
    <w:r>
      <w:rPr/>
      <w:t>ICM:390121.5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NCU SUPPLEMENT</w:t>
    </w:r>
  </w:p>
  <w:p>
    <w:pPr>
      <w:pStyle w:val="Header"/>
      <w:rPr/>
    </w:pPr>
    <w:r>
      <w:rPr>
        <w:rFonts w:eastAsia="Wingdings" w:cs="Wingdings" w:ascii="Wingdings" w:hAnsi="Wingdings"/>
      </w:rPr>
      <w:sym w:font="Wingdings" w:char="f06c"/>
    </w:r>
    <w:r>
      <w:rPr/>
      <w:t xml:space="preserve"> </w:t>
    </w:r>
    <w:r>
      <w:rPr/>
      <w:t>2000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NCU SUPPLEMENT</w:t>
    </w:r>
  </w:p>
  <w:p>
    <w:pPr>
      <w:pStyle w:val="Header"/>
      <w:jc w:val="end"/>
      <w:rPr/>
    </w:pPr>
    <w:r>
      <w:rPr>
        <w:rFonts w:eastAsia="Wingdings" w:cs="Wingdings" w:ascii="Wingdings" w:hAnsi="Wingdings"/>
      </w:rPr>
      <w:sym w:font="Wingdings" w:char="f06c"/>
    </w:r>
    <w:r>
      <w:rPr/>
      <w:t xml:space="preserve"> </w:t>
    </w:r>
    <w:r>
      <w:rPr/>
      <w:t>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NCU SUPPLEMENT</w:t>
    </w:r>
  </w:p>
  <w:p>
    <w:pPr>
      <w:pStyle w:val="Header"/>
      <w:jc w:val="end"/>
      <w:rPr/>
    </w:pPr>
    <w:r>
      <w:rPr>
        <w:rFonts w:eastAsia="Wingdings" w:cs="Wingdings" w:ascii="Wingdings" w:hAnsi="Wingdings"/>
      </w:rPr>
      <w:sym w:font="Wingdings" w:char="f06c"/>
    </w:r>
    <w:r>
      <w:rPr/>
      <w:t xml:space="preserve"> </w:t>
    </w:r>
    <w:r>
      <w:rPr/>
      <w:t>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NCU SUPPLEMENT</w:t>
    </w:r>
  </w:p>
  <w:p>
    <w:pPr>
      <w:pStyle w:val="Header"/>
      <w:jc w:val="end"/>
      <w:rPr/>
    </w:pPr>
    <w:r>
      <w:rPr>
        <w:rFonts w:eastAsia="Wingdings" w:cs="Wingdings" w:ascii="Wingdings" w:hAnsi="Wingdings"/>
      </w:rPr>
      <w:sym w:font="Wingdings" w:char="f06c"/>
    </w:r>
    <w:r>
      <w:rPr/>
      <w:t xml:space="preserve"> </w:t>
    </w:r>
    <w:r>
      <w:rPr/>
      <w:t>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docVars>
    <w:docVar w:name="DocRef" w:val="ICM:390121.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1z0">
    <w:name w:val="WW8Num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153"/>
        <w:tab w:val="clear" w:pos="8306"/>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2000-02-10T17:38:00Z</dcterms:created>
  <dc:creator>Allen &amp; Overy</dc:creator>
  <dc:description/>
  <dc:language>en-CA</dc:language>
  <cp:lastModifiedBy>Corrinne Greasley</cp:lastModifiedBy>
  <cp:lastPrinted>2000-02-10T16:01:00Z</cp:lastPrinted>
  <dcterms:modified xsi:type="dcterms:W3CDTF">2000-02-10T17:38:00Z</dcterms:modified>
  <cp:revision>2</cp:revision>
  <dc:subject/>
  <dc:title>ANNEX TO THE</dc:title>
</cp:coreProperties>
</file>