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38" w:type="dxa"/>
        <w:jc w:val="start"/>
        <w:tblInd w:w="0" w:type="dxa"/>
        <w:tblLayout w:type="fixed"/>
        <w:tblCellMar>
          <w:top w:w="0" w:type="dxa"/>
          <w:start w:w="108" w:type="dxa"/>
          <w:bottom w:w="0" w:type="dxa"/>
          <w:end w:w="108" w:type="dxa"/>
        </w:tblCellMar>
      </w:tblPr>
      <w:tblGrid>
        <w:gridCol w:w="4608"/>
        <w:gridCol w:w="4230"/>
      </w:tblGrid>
      <w:tr>
        <w:trPr/>
        <w:tc>
          <w:tcPr>
            <w:tcW w:w="4608" w:type="dxa"/>
            <w:tcBorders>
              <w:end w:val="single" w:sz="6" w:space="0" w:color="000000"/>
            </w:tcBorders>
          </w:tcPr>
          <w:p>
            <w:pPr>
              <w:pStyle w:val="DocketParty"/>
              <w:ind w:hanging="360" w:start="360" w:end="360"/>
              <w:jc w:val="start"/>
              <w:rPr/>
            </w:pPr>
            <w:r>
              <w:rPr/>
              <w:t xml:space="preserve">San Diego Gas &amp; Electric Company, </w:t>
            </w:r>
          </w:p>
          <w:p>
            <w:pPr>
              <w:pStyle w:val="DocketParty"/>
              <w:ind w:hanging="360" w:start="360" w:end="360"/>
              <w:jc w:val="center"/>
              <w:rPr/>
            </w:pPr>
            <w:r>
              <w:rPr/>
              <w:t>Complainant,</w:t>
            </w:r>
          </w:p>
          <w:p>
            <w:pPr>
              <w:pStyle w:val="DocketParty"/>
              <w:ind w:hanging="360" w:start="360" w:end="360"/>
              <w:jc w:val="center"/>
              <w:rPr/>
            </w:pPr>
            <w:r>
              <w:rPr/>
            </w:r>
          </w:p>
          <w:p>
            <w:pPr>
              <w:pStyle w:val="DocketParty"/>
              <w:ind w:hanging="360" w:start="360" w:end="360"/>
              <w:jc w:val="center"/>
              <w:rPr/>
            </w:pPr>
            <w:r>
              <w:rPr/>
              <w:t>v.</w:t>
            </w:r>
          </w:p>
          <w:p>
            <w:pPr>
              <w:pStyle w:val="DocketParty"/>
              <w:ind w:hanging="360" w:start="360" w:end="360"/>
              <w:jc w:val="center"/>
              <w:rPr/>
            </w:pPr>
            <w:r>
              <w:rPr/>
            </w:r>
          </w:p>
          <w:p>
            <w:pPr>
              <w:pStyle w:val="DocketParty"/>
              <w:ind w:hanging="360" w:start="360" w:end="360"/>
              <w:jc w:val="start"/>
              <w:rPr/>
            </w:pPr>
            <w:r>
              <w:rPr/>
              <w:t>All Jurisdictional Sellers of Energy and/or Capacity at Wholesale Into Electric Energy and/or Capacity Markets in the Pacific Northwest, Including Parties to the Western Systems Power Pool Agreement,</w:t>
            </w:r>
          </w:p>
          <w:p>
            <w:pPr>
              <w:pStyle w:val="DocketParty"/>
              <w:ind w:hanging="360" w:start="360" w:end="360"/>
              <w:jc w:val="center"/>
              <w:rPr/>
            </w:pPr>
            <w:r>
              <w:rPr/>
              <w:t>Respondents</w:t>
            </w:r>
          </w:p>
          <w:p>
            <w:pPr>
              <w:pStyle w:val="DocketParty"/>
              <w:ind w:hanging="360" w:start="360" w:end="360"/>
              <w:jc w:val="center"/>
              <w:rPr/>
            </w:pPr>
            <w:r>
              <w:rPr/>
            </w:r>
          </w:p>
          <w:p>
            <w:pPr>
              <w:pStyle w:val="DocketParty"/>
              <w:ind w:hanging="360" w:start="360" w:end="360"/>
              <w:jc w:val="start"/>
              <w:rPr/>
            </w:pPr>
            <w:r>
              <w:rPr/>
              <w:t>Investigation of Practices of the California Independent System Operator and the California Power Exchange.</w:t>
              <w:tab/>
              <w:t>.</w:t>
            </w:r>
          </w:p>
          <w:p>
            <w:pPr>
              <w:pStyle w:val="DocketParty"/>
              <w:ind w:hanging="360" w:start="360" w:end="360"/>
              <w:jc w:val="start"/>
              <w:rPr/>
            </w:pPr>
            <w:r>
              <w:rPr/>
            </w:r>
          </w:p>
          <w:p>
            <w:pPr>
              <w:pStyle w:val="DocketParty"/>
              <w:ind w:hanging="360" w:start="360" w:end="360"/>
              <w:jc w:val="start"/>
              <w:rPr/>
            </w:pPr>
            <w:r>
              <w:rPr/>
            </w:r>
          </w:p>
        </w:tc>
        <w:tc>
          <w:tcPr>
            <w:tcW w:w="4230" w:type="dxa"/>
            <w:tcBorders/>
          </w:tcPr>
          <w:p>
            <w:pPr>
              <w:pStyle w:val="DocketNo"/>
              <w:ind w:hanging="0" w:start="702" w:end="-828"/>
              <w:jc w:val="start"/>
              <w:rPr/>
            </w:pPr>
            <w:bookmarkStart w:id="0" w:name="Docket"/>
            <w:bookmarkEnd w:id="0"/>
            <w:r>
              <w:rPr/>
              <w:t>Docket No. EL00-95-045</w:t>
            </w:r>
          </w:p>
          <w:p>
            <w:pPr>
              <w:pStyle w:val="DocketNo"/>
              <w:tabs>
                <w:tab w:val="clear" w:pos="720"/>
                <w:tab w:val="left" w:pos="1962" w:leader="none"/>
              </w:tabs>
              <w:ind w:hanging="0" w:start="702" w:end="360"/>
              <w:jc w:val="start"/>
              <w:rPr/>
            </w:pPr>
            <w:r>
              <w:rPr/>
              <w:tab/>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tabs>
                <w:tab w:val="clear" w:pos="720"/>
                <w:tab w:val="left" w:pos="1962" w:leader="none"/>
              </w:tabs>
              <w:ind w:hanging="0" w:start="702" w:end="360"/>
              <w:jc w:val="start"/>
              <w:rPr/>
            </w:pPr>
            <w:r>
              <w:rPr/>
            </w:r>
          </w:p>
          <w:p>
            <w:pPr>
              <w:pStyle w:val="DocketNo"/>
              <w:jc w:val="start"/>
              <w:rPr/>
            </w:pPr>
            <w:r>
              <w:rPr/>
              <w:t>Docket No. EL00-98-042Docket No. EL00-95-045</w:t>
            </w:r>
          </w:p>
        </w:tc>
      </w:tr>
    </w:tbl>
    <w:p>
      <w:pPr>
        <w:pStyle w:val="PleadingTitle"/>
        <w:rPr/>
      </w:pPr>
      <w:bookmarkStart w:id="1" w:name="PleadingTitle"/>
      <w:bookmarkEnd w:id="1"/>
      <w:r>
        <w:rPr/>
        <w:t>Responses and objections of the Northern California Power Agency to the First set of joint Data Requests of the Competitive Supplier Group to the Non-Public Utilities</w:t>
      </w:r>
    </w:p>
    <w:p>
      <w:pPr>
        <w:pStyle w:val="ListNumber"/>
        <w:numPr>
          <w:ilvl w:val="0"/>
          <w:numId w:val="0"/>
        </w:numPr>
        <w:ind w:hanging="0" w:start="0"/>
        <w:rPr>
          <w:b/>
        </w:rPr>
      </w:pPr>
      <w:bookmarkStart w:id="2" w:name="TextStart"/>
      <w:bookmarkEnd w:id="2"/>
      <w:r>
        <w:rPr>
          <w:b/>
        </w:rPr>
        <w:t>CSG-NPU-1</w:t>
      </w:r>
    </w:p>
    <w:p>
      <w:pPr>
        <w:pStyle w:val="BodyText"/>
        <w:spacing w:lineRule="auto" w:line="240"/>
        <w:rPr/>
      </w:pPr>
      <w:r>
        <w:rPr/>
        <w:t>For each hour in the refund period of October 2, 2000 to June 20, 2001, in which you are able to demonstrate that you sold marginal energy to the California Independent System Operator, please provide the following data in machine readable (.xlsor .csv) format:  Date; Hour ending; Calculated marginal cost of energy supplied; Quantity of energy supplied.</w:t>
      </w:r>
    </w:p>
    <w:p>
      <w:pPr>
        <w:pStyle w:val="BodyText"/>
        <w:spacing w:lineRule="auto" w:line="240"/>
        <w:rPr/>
      </w:pPr>
      <w:r>
        <w:rPr/>
      </w:r>
    </w:p>
    <w:p>
      <w:pPr>
        <w:pStyle w:val="BodyText-Notindented"/>
        <w:spacing w:lineRule="auto" w:line="240"/>
        <w:rPr>
          <w:b/>
        </w:rPr>
      </w:pPr>
      <w:r>
        <w:rPr>
          <w:b/>
        </w:rPr>
        <w:t>RESPONSE:</w:t>
      </w:r>
    </w:p>
    <w:p>
      <w:pPr>
        <w:pStyle w:val="BodyText-Notindented"/>
        <w:spacing w:lineRule="auto" w:line="240"/>
        <w:rPr>
          <w:b/>
        </w:rPr>
      </w:pPr>
      <w:r>
        <w:rPr>
          <w:b/>
        </w:rPr>
      </w:r>
    </w:p>
    <w:p>
      <w:pPr>
        <w:pStyle w:val="BodyText-Notindented"/>
        <w:spacing w:lineRule="auto" w:line="240"/>
        <w:rPr/>
      </w:pPr>
      <w:r>
        <w:rPr/>
        <w:tab/>
        <w:t xml:space="preserve">NCPA objects to this request as vague and unintelligible, in particular vis-à-vis the terms “marginal energy” and “calculated marginal cost.”  To the degree NCPA can guess at what CSG is seeking, NCPA objects to the request as unduly burdensome and not reasonably calculated to lead to admissible evidence.  NCPA has not conducted any computations to determine these facts and lacks baseline information that would be required to provide accurate information.  For example, in order to comply with this request in any meaningful way, NCPA would be forced to commission heat rate studies of certain generating units.  NCPA has insufficient personnel to undertake the lengthy research and computations in order to comply with this request.  Moreover, given the estimated efficiency of NCPA’s units, it is unlikely that they would have much – if any – impact on the overall mitigated market clearing price calculations. </w:t>
      </w:r>
    </w:p>
    <w:p>
      <w:pPr>
        <w:pStyle w:val="BodyText-Notindented"/>
        <w:rPr/>
      </w:pPr>
      <w:r>
        <w:rPr/>
      </w:r>
    </w:p>
    <w:p>
      <w:pPr>
        <w:pStyle w:val="BodyText-Notindented"/>
        <w:spacing w:lineRule="auto" w:line="240"/>
        <w:rPr/>
      </w:pPr>
      <w:r>
        <w:rPr/>
        <w:t xml:space="preserve">Persons Responsible: </w:t>
        <w:tab/>
        <w:t>Counsel (Objections) and David Dockham (Response)</w:t>
      </w:r>
    </w:p>
    <w:p>
      <w:pPr>
        <w:pStyle w:val="BodyText-Notindented"/>
        <w:spacing w:lineRule="auto" w:line="240"/>
        <w:rPr/>
      </w:pPr>
      <w:r>
        <w:rPr/>
        <w:t xml:space="preserve">Dated:  </w:t>
        <w:tab/>
        <w:tab/>
        <w:t>November 7, 2001</w:t>
      </w:r>
    </w:p>
    <w:sectPr>
      <w:headerReference w:type="default" r:id="rId2"/>
      <w:headerReference w:type="first" r:id="rId3"/>
      <w:type w:val="nextPage"/>
      <w:pgSz w:w="12240" w:h="15840"/>
      <w:pgMar w:left="216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720" w:after="480"/>
      <w:jc w:val="center"/>
      <w:rPr/>
    </w:pPr>
    <w:r>
      <w:rPr/>
      <w:t>UNITED STATES OF AMERICA</w:t>
      <w:br/>
      <w:t>BEFORE THE</w:t>
      <w:br/>
      <w:t>FEDERAL ENERGY REGULATORY COMMISSION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uto" w:line="48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uppressAutoHyphens w:val="false"/>
      <w:spacing w:lineRule="auto" w:line="240" w:before="0" w:after="240"/>
      <w:ind w:hanging="0" w:start="0" w:end="720"/>
      <w:jc w:val="start"/>
      <w:outlineLvl w:val="0"/>
    </w:pPr>
    <w:rPr>
      <w:b/>
      <w:caps/>
    </w:rPr>
  </w:style>
  <w:style w:type="paragraph" w:styleId="Heading2">
    <w:name w:val="heading 2"/>
    <w:basedOn w:val="Normal"/>
    <w:next w:val="BodyText"/>
    <w:qFormat/>
    <w:pPr>
      <w:keepNext w:val="true"/>
      <w:numPr>
        <w:ilvl w:val="1"/>
        <w:numId w:val="1"/>
      </w:numPr>
      <w:suppressAutoHyphens w:val="false"/>
      <w:spacing w:lineRule="auto" w:line="240" w:before="0" w:after="240"/>
      <w:ind w:hanging="0" w:start="0" w:end="720"/>
      <w:jc w:val="start"/>
      <w:outlineLvl w:val="1"/>
    </w:pPr>
    <w:rPr>
      <w:b/>
      <w:i/>
    </w:rPr>
  </w:style>
  <w:style w:type="paragraph" w:styleId="Heading3">
    <w:name w:val="heading 3"/>
    <w:basedOn w:val="Normal"/>
    <w:next w:val="BodyText"/>
    <w:qFormat/>
    <w:pPr>
      <w:keepNext w:val="true"/>
      <w:numPr>
        <w:ilvl w:val="2"/>
        <w:numId w:val="1"/>
      </w:numPr>
      <w:suppressAutoHyphens w:val="false"/>
      <w:spacing w:lineRule="auto" w:line="240" w:before="0" w:after="240"/>
      <w:ind w:hanging="0" w:start="0" w:end="720"/>
      <w:jc w:val="start"/>
      <w:outlineLvl w:val="2"/>
    </w:pPr>
    <w:rPr/>
  </w:style>
  <w:style w:type="paragraph" w:styleId="Heading4">
    <w:name w:val="heading 4"/>
    <w:basedOn w:val="Normal"/>
    <w:next w:val="BodyText"/>
    <w:qFormat/>
    <w:pPr>
      <w:keepNext w:val="true"/>
      <w:numPr>
        <w:ilvl w:val="3"/>
        <w:numId w:val="1"/>
      </w:numPr>
      <w:suppressAutoHyphens w:val="false"/>
      <w:spacing w:lineRule="auto" w:line="240" w:before="0" w:after="240"/>
      <w:jc w:val="start"/>
      <w:outlineLvl w:val="3"/>
    </w:pPr>
    <w:rPr/>
  </w:style>
  <w:style w:type="paragraph" w:styleId="Heading5">
    <w:name w:val="heading 5"/>
    <w:basedOn w:val="Normal"/>
    <w:next w:val="BodyText"/>
    <w:qFormat/>
    <w:pPr>
      <w:keepNext w:val="true"/>
      <w:numPr>
        <w:ilvl w:val="4"/>
        <w:numId w:val="1"/>
      </w:numPr>
      <w:suppressAutoHyphens w:val="false"/>
      <w:spacing w:lineRule="auto" w:line="240" w:before="0" w:after="240"/>
      <w:jc w:val="start"/>
      <w:outlineLvl w:val="4"/>
    </w:pPr>
    <w:rPr/>
  </w:style>
  <w:style w:type="paragraph" w:styleId="Heading6">
    <w:name w:val="heading 6"/>
    <w:basedOn w:val="Normal"/>
    <w:next w:val="BodyText"/>
    <w:qFormat/>
    <w:pPr>
      <w:keepNext w:val="true"/>
      <w:numPr>
        <w:ilvl w:val="5"/>
        <w:numId w:val="1"/>
      </w:numPr>
      <w:suppressAutoHyphens w:val="false"/>
      <w:spacing w:before="0" w:after="240"/>
      <w:outlineLvl w:val="5"/>
    </w:pPr>
    <w:rPr/>
  </w:style>
  <w:style w:type="paragraph" w:styleId="Heading7">
    <w:name w:val="heading 7"/>
    <w:basedOn w:val="Normal"/>
    <w:next w:val="BodyText"/>
    <w:qFormat/>
    <w:pPr>
      <w:numPr>
        <w:ilvl w:val="6"/>
        <w:numId w:val="1"/>
      </w:numPr>
      <w:suppressAutoHyphens w:val="false"/>
      <w:spacing w:before="0" w:after="240"/>
      <w:outlineLvl w:val="6"/>
    </w:pPr>
    <w:rPr/>
  </w:style>
  <w:style w:type="paragraph" w:styleId="Heading8">
    <w:name w:val="heading 8"/>
    <w:basedOn w:val="Normal"/>
    <w:next w:val="BodyText"/>
    <w:qFormat/>
    <w:pPr>
      <w:keepNext w:val="true"/>
      <w:numPr>
        <w:ilvl w:val="7"/>
        <w:numId w:val="1"/>
      </w:numPr>
      <w:suppressAutoHyphens w:val="false"/>
      <w:spacing w:before="0" w:after="240"/>
      <w:outlineLvl w:val="7"/>
    </w:pPr>
    <w:rPr/>
  </w:style>
  <w:style w:type="paragraph" w:styleId="Heading9">
    <w:name w:val="heading 9"/>
    <w:basedOn w:val="Normal"/>
    <w:next w:val="BodyText"/>
    <w:qFormat/>
    <w:pPr>
      <w:keepNext w:val="true"/>
      <w:numPr>
        <w:ilvl w:val="8"/>
        <w:numId w:val="1"/>
      </w:numPr>
      <w:suppressAutoHyphens w:val="false"/>
      <w:spacing w:before="0" w:after="240"/>
      <w:outlineLvl w:val="8"/>
    </w:pPr>
    <w:rPr/>
  </w:style>
  <w:style w:type="character" w:styleId="WW8Num4z0">
    <w:name w:val="WW8Num4z0"/>
    <w:qFormat/>
    <w:rPr>
      <w:rFonts w:ascii="Symbol" w:hAnsi="Symbol" w:cs="Symbol"/>
    </w:rPr>
  </w:style>
  <w:style w:type="character" w:styleId="WW8NumSt2z0">
    <w:name w:val="WW8NumSt2z0"/>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uto" w:line="240" w:before="240" w:after="240"/>
      <w:jc w:val="center"/>
    </w:pPr>
    <w:rPr>
      <w:b/>
    </w:rPr>
  </w:style>
  <w:style w:type="paragraph" w:styleId="BodyText">
    <w:name w:val="Body Text"/>
    <w:basedOn w:val="Normal"/>
    <w:pPr>
      <w:ind w:firstLine="720" w:start="0" w:end="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pHeading">
    <w:name w:val="TopHeading"/>
    <w:basedOn w:val="Normal"/>
    <w:qFormat/>
    <w:pPr>
      <w:tabs>
        <w:tab w:val="clear" w:pos="720"/>
      </w:tabs>
      <w:spacing w:before="0" w:after="240"/>
      <w:jc w:val="center"/>
    </w:pPr>
    <w:rPr>
      <w:caps/>
    </w:rPr>
  </w:style>
  <w:style w:type="paragraph" w:styleId="DocketParty">
    <w:name w:val="DocketParty"/>
    <w:basedOn w:val="Normal"/>
    <w:qFormat/>
    <w:pPr>
      <w:spacing w:lineRule="auto" w:line="240"/>
      <w:ind w:hanging="288" w:start="648" w:end="360"/>
    </w:pPr>
    <w:rPr/>
  </w:style>
  <w:style w:type="paragraph" w:styleId="PleadingTitle">
    <w:name w:val="Pleading Title"/>
    <w:basedOn w:val="Normal"/>
    <w:next w:val="BodyText"/>
    <w:qFormat/>
    <w:pPr>
      <w:tabs>
        <w:tab w:val="clear" w:pos="720"/>
        <w:tab w:val="left" w:pos="-720" w:leader="none"/>
      </w:tabs>
      <w:spacing w:lineRule="auto" w:line="216" w:before="480" w:after="480"/>
      <w:ind w:hanging="0" w:start="1440" w:end="1440"/>
      <w:jc w:val="center"/>
    </w:pPr>
    <w:rPr>
      <w:b/>
      <w:caps/>
    </w:rPr>
  </w:style>
  <w:style w:type="paragraph" w:styleId="DocketNo">
    <w:name w:val="Docket No."/>
    <w:basedOn w:val="DocketParty"/>
    <w:qFormat/>
    <w:pPr>
      <w:jc w:val="end"/>
    </w:pPr>
    <w:rPr/>
  </w:style>
  <w:style w:type="paragraph" w:styleId="Respect">
    <w:name w:val="Respect"/>
    <w:basedOn w:val="BodyText"/>
    <w:next w:val="SignatureLine"/>
    <w:qFormat/>
    <w:pPr>
      <w:keepNext w:val="true"/>
      <w:keepLines/>
      <w:spacing w:before="240" w:after="1200"/>
      <w:ind w:hanging="0" w:start="4320" w:end="0"/>
    </w:pPr>
    <w:rPr/>
  </w:style>
  <w:style w:type="paragraph" w:styleId="SignatureLine">
    <w:name w:val="Signature Line"/>
    <w:basedOn w:val="Respect"/>
    <w:qFormat/>
    <w:pPr>
      <w:spacing w:before="240" w:after="1200"/>
      <w:ind w:hanging="0" w:start="4320" w:end="0"/>
    </w:pPr>
    <w:rPr/>
  </w:style>
  <w:style w:type="paragraph" w:styleId="ClientLine">
    <w:name w:val="Client Line"/>
    <w:basedOn w:val="SignatureLine"/>
    <w:qFormat/>
    <w:pPr>
      <w:pBdr>
        <w:top w:val="single" w:sz="6" w:space="3" w:color="000000"/>
      </w:pBdr>
      <w:spacing w:lineRule="auto" w:line="240" w:before="120" w:after="0"/>
      <w:ind w:hanging="0" w:start="4320" w:end="720"/>
    </w:pPr>
    <w:rPr/>
  </w:style>
  <w:style w:type="paragraph" w:styleId="Date">
    <w:name w:val="Date"/>
    <w:basedOn w:val="ClientLine"/>
    <w:qFormat/>
    <w:pPr>
      <w:spacing w:before="480" w:after="480"/>
      <w:ind w:hanging="0" w:start="0" w:end="720"/>
    </w:pPr>
    <w:rPr/>
  </w:style>
  <w:style w:type="paragraph" w:styleId="COSOffice">
    <w:name w:val="COS Office"/>
    <w:basedOn w:val="Normal"/>
    <w:qFormat/>
    <w:pPr>
      <w:keepNext w:val="true"/>
      <w:keepLines/>
      <w:spacing w:lineRule="auto" w:line="240" w:before="720" w:after="0"/>
      <w:ind w:hanging="432" w:start="432" w:end="0"/>
      <w:jc w:val="start"/>
    </w:pPr>
    <w:rPr/>
  </w:style>
  <w:style w:type="paragraph" w:styleId="Offices">
    <w:name w:val="Offices"/>
    <w:basedOn w:val="COSOffice"/>
    <w:qFormat/>
    <w:pPr>
      <w:tabs>
        <w:tab w:val="clear" w:pos="720"/>
      </w:tabs>
      <w:spacing w:before="0" w:after="0"/>
    </w:pPr>
    <w:rPr/>
  </w:style>
  <w:style w:type="paragraph" w:styleId="COSText">
    <w:name w:val="COS Text"/>
    <w:basedOn w:val="Normal"/>
    <w:qFormat/>
    <w:pPr>
      <w:spacing w:lineRule="auto" w:line="480"/>
      <w:ind w:firstLine="1440" w:start="0" w:end="0"/>
    </w:pPr>
    <w:rPr/>
  </w:style>
  <w:style w:type="paragraph" w:styleId="COSSignature">
    <w:name w:val="COS Signature"/>
    <w:basedOn w:val="Normal"/>
    <w:next w:val="COSAttorney"/>
    <w:qFormat/>
    <w:pPr>
      <w:keepNext w:val="true"/>
      <w:keepLines/>
      <w:pBdr>
        <w:bottom w:val="single" w:sz="6" w:space="1" w:color="000000"/>
      </w:pBdr>
      <w:spacing w:before="1200" w:after="0"/>
      <w:ind w:hanging="0" w:start="4320" w:end="1152"/>
    </w:pPr>
    <w:rPr/>
  </w:style>
  <w:style w:type="paragraph" w:styleId="COSAttorney">
    <w:name w:val="COS Attorney"/>
    <w:basedOn w:val="Normal"/>
    <w:qFormat/>
    <w:pPr>
      <w:keepNext w:val="true"/>
      <w:keepLines/>
      <w:spacing w:lineRule="auto" w:line="240" w:before="60" w:after="0"/>
      <w:ind w:hanging="0" w:start="4680" w:end="1152"/>
    </w:pPr>
    <w:rPr/>
  </w:style>
  <w:style w:type="paragraph" w:styleId="COSTitle">
    <w:name w:val="COS Title"/>
    <w:basedOn w:val="Normal"/>
    <w:next w:val="COSText"/>
    <w:qFormat/>
    <w:pPr>
      <w:spacing w:lineRule="auto" w:line="216" w:before="0" w:after="720"/>
      <w:jc w:val="center"/>
    </w:pPr>
    <w:rPr>
      <w:caps/>
    </w:rPr>
  </w:style>
  <w:style w:type="paragraph" w:styleId="Level1">
    <w:name w:val="Level 1"/>
    <w:basedOn w:val="BodyText"/>
    <w:qFormat/>
    <w:pPr>
      <w:suppressAutoHyphens w:val="false"/>
    </w:pPr>
    <w:rPr>
      <w:spacing w:val="0"/>
    </w:rPr>
  </w:style>
  <w:style w:type="paragraph" w:styleId="Level2">
    <w:name w:val="Level 2"/>
    <w:basedOn w:val="BodyText"/>
    <w:qFormat/>
    <w:pPr>
      <w:suppressAutoHyphens w:val="false"/>
      <w:ind w:firstLine="720" w:start="0" w:end="0"/>
    </w:pPr>
    <w:rPr>
      <w:spacing w:val="0"/>
    </w:rPr>
  </w:style>
  <w:style w:type="paragraph" w:styleId="Level3">
    <w:name w:val="Level 3"/>
    <w:basedOn w:val="BodyText"/>
    <w:qFormat/>
    <w:pPr>
      <w:suppressAutoHyphens w:val="false"/>
    </w:pPr>
    <w:rPr/>
  </w:style>
  <w:style w:type="paragraph" w:styleId="Level4">
    <w:name w:val="Level 4"/>
    <w:basedOn w:val="BodyText"/>
    <w:qFormat/>
    <w:pPr>
      <w:suppressAutoHyphens w:val="false"/>
    </w:pPr>
    <w:rPr>
      <w:spacing w:val="0"/>
    </w:rPr>
  </w:style>
  <w:style w:type="paragraph" w:styleId="Level5">
    <w:name w:val="Level 5"/>
    <w:basedOn w:val="BodyText"/>
    <w:qFormat/>
    <w:pPr>
      <w:suppressAutoHyphens w:val="false"/>
    </w:pPr>
    <w:rPr>
      <w:spacing w:val="0"/>
    </w:rPr>
  </w:style>
  <w:style w:type="paragraph" w:styleId="BPHeading2">
    <w:name w:val="BPHeading 2"/>
    <w:basedOn w:val="Normal"/>
    <w:next w:val="BodyText"/>
    <w:qFormat/>
    <w:pPr>
      <w:pBdr>
        <w:bottom w:val="single" w:sz="12" w:space="1" w:color="000000"/>
      </w:pBdr>
      <w:suppressAutoHyphens w:val="false"/>
      <w:autoSpaceDE w:val="false"/>
      <w:spacing w:lineRule="auto" w:line="240" w:before="0" w:after="240"/>
      <w:jc w:val="start"/>
      <w:outlineLvl w:val="0"/>
    </w:pPr>
    <w:rPr>
      <w:rFonts w:ascii="Arial" w:hAnsi="Arial" w:cs="Arial"/>
      <w:b/>
      <w:sz w:val="32"/>
    </w:rPr>
  </w:style>
  <w:style w:type="paragraph" w:styleId="FootnoteText">
    <w:name w:val="footnote text"/>
    <w:basedOn w:val="Normal"/>
    <w:pPr>
      <w:widowControl w:val="false"/>
      <w:tabs>
        <w:tab w:val="clear" w:pos="720"/>
        <w:tab w:val="left" w:pos="432" w:leader="none"/>
      </w:tabs>
      <w:spacing w:lineRule="auto" w:line="240" w:before="0" w:after="120"/>
      <w:jc w:val="start"/>
    </w:pPr>
    <w:rPr>
      <w:sz w:val="20"/>
    </w:rPr>
  </w:style>
  <w:style w:type="paragraph" w:styleId="Level6">
    <w:name w:val="Level 6"/>
    <w:basedOn w:val="BodyText"/>
    <w:qFormat/>
    <w:pPr/>
    <w:rPr/>
  </w:style>
  <w:style w:type="paragraph" w:styleId="Level7">
    <w:name w:val="Level 7"/>
    <w:basedOn w:val="BodyText"/>
    <w:qFormat/>
    <w:pPr/>
    <w:rPr/>
  </w:style>
  <w:style w:type="paragraph" w:styleId="Level8">
    <w:name w:val="Level 8"/>
    <w:basedOn w:val="BodyText"/>
    <w:qFormat/>
    <w:pPr/>
    <w:rPr/>
  </w:style>
  <w:style w:type="paragraph" w:styleId="Level9">
    <w:name w:val="Level 9"/>
    <w:basedOn w:val="BodyText"/>
    <w:qFormat/>
    <w:pPr/>
    <w:rPr/>
  </w:style>
  <w:style w:type="paragraph" w:styleId="BodyText-Notindented">
    <w:name w:val="Body Text - Not indented"/>
    <w:basedOn w:val="Normal"/>
    <w:qFormat/>
    <w:pPr>
      <w:spacing w:lineRule="auto" w:line="480"/>
    </w:pPr>
    <w:rPr/>
  </w:style>
  <w:style w:type="paragraph" w:styleId="TOC1">
    <w:name w:val="toc 1"/>
    <w:basedOn w:val="Normal"/>
    <w:next w:val="Normal"/>
    <w:pPr>
      <w:tabs>
        <w:tab w:val="clear" w:pos="720"/>
        <w:tab w:val="left" w:pos="432" w:leader="none"/>
        <w:tab w:val="left" w:pos="8280" w:leader="dot"/>
        <w:tab w:val="right" w:pos="8640" w:leader="dot"/>
      </w:tabs>
      <w:spacing w:lineRule="auto" w:line="240" w:before="0" w:after="240"/>
      <w:ind w:hanging="432" w:start="432" w:end="1440"/>
      <w:jc w:val="start"/>
    </w:pPr>
    <w:rPr>
      <w:caps/>
    </w:rPr>
  </w:style>
  <w:style w:type="paragraph" w:styleId="BlockQuote">
    <w:name w:val="BlockQuote"/>
    <w:basedOn w:val="BodyText"/>
    <w:next w:val="BodyTextContinued"/>
    <w:qFormat/>
    <w:pPr>
      <w:spacing w:lineRule="auto" w:line="240" w:before="0" w:after="240"/>
      <w:ind w:hanging="0" w:start="1440" w:end="1440"/>
    </w:pPr>
    <w:rPr/>
  </w:style>
  <w:style w:type="paragraph" w:styleId="ListBullet">
    <w:name w:val="List Bullet"/>
    <w:qFormat/>
    <w:pPr>
      <w:widowControl/>
      <w:numPr>
        <w:ilvl w:val="0"/>
        <w:numId w:val="2"/>
      </w:numPr>
      <w:bidi w:val="0"/>
      <w:spacing w:before="0" w:after="240"/>
    </w:pPr>
    <w:rPr>
      <w:rFonts w:ascii="Times New Roman" w:hAnsi="Times New Roman" w:eastAsia="Times New Roman" w:cs="Times New Roman"/>
      <w:color w:val="auto"/>
      <w:sz w:val="24"/>
      <w:szCs w:val="20"/>
      <w:lang w:val="en-US" w:eastAsia="zh-CN" w:bidi="hi-IN"/>
    </w:rPr>
  </w:style>
  <w:style w:type="paragraph" w:styleId="ListNumber">
    <w:name w:val="List Number"/>
    <w:qFormat/>
    <w:pPr>
      <w:widowControl/>
      <w:numPr>
        <w:ilvl w:val="0"/>
        <w:numId w:val="3"/>
      </w:numPr>
      <w:bidi w:val="0"/>
      <w:spacing w:before="0" w:after="240"/>
      <w:ind w:hanging="360" w:start="360" w:end="0"/>
    </w:pPr>
    <w:rPr>
      <w:rFonts w:ascii="Times New Roman" w:hAnsi="Times New Roman" w:eastAsia="Times New Roman" w:cs="Times New Roman"/>
      <w:color w:val="auto"/>
      <w:sz w:val="24"/>
      <w:szCs w:val="20"/>
      <w:lang w:val="en-CA" w:eastAsia="zh-CN" w:bidi="hi-IN"/>
    </w:rPr>
  </w:style>
  <w:style w:type="paragraph" w:styleId="TOC2">
    <w:name w:val="toc 2"/>
    <w:basedOn w:val="Normal"/>
    <w:next w:val="Normal"/>
    <w:pPr>
      <w:tabs>
        <w:tab w:val="clear" w:pos="720"/>
        <w:tab w:val="left" w:pos="864" w:leader="none"/>
        <w:tab w:val="left" w:pos="8280" w:leader="dot"/>
        <w:tab w:val="right" w:pos="8640" w:leader="dot"/>
      </w:tabs>
      <w:spacing w:lineRule="auto" w:line="240" w:before="0" w:after="240"/>
      <w:ind w:hanging="432" w:start="864" w:end="1440"/>
      <w:jc w:val="start"/>
    </w:pPr>
    <w:rPr/>
  </w:style>
  <w:style w:type="paragraph" w:styleId="TOC3">
    <w:name w:val="toc 3"/>
    <w:basedOn w:val="Normal"/>
    <w:next w:val="Normal"/>
    <w:pPr>
      <w:tabs>
        <w:tab w:val="clear" w:pos="720"/>
        <w:tab w:val="left" w:pos="1260" w:leader="none"/>
        <w:tab w:val="left" w:pos="8280" w:leader="dot"/>
        <w:tab w:val="right" w:pos="8640" w:leader="dot"/>
      </w:tabs>
      <w:spacing w:lineRule="auto" w:line="240" w:before="0" w:after="240"/>
      <w:ind w:hanging="432" w:start="1296" w:end="1440"/>
      <w:jc w:val="start"/>
    </w:pPr>
    <w:rPr/>
  </w:style>
  <w:style w:type="paragraph" w:styleId="TOC4">
    <w:name w:val="toc 4"/>
    <w:basedOn w:val="Normal"/>
    <w:next w:val="Normal"/>
    <w:pPr>
      <w:tabs>
        <w:tab w:val="clear" w:pos="720"/>
        <w:tab w:val="left" w:pos="1710" w:leader="none"/>
        <w:tab w:val="left" w:pos="8280" w:leader="dot"/>
        <w:tab w:val="right" w:pos="8640" w:leader="dot"/>
      </w:tabs>
      <w:spacing w:lineRule="auto" w:line="240" w:before="0" w:after="240"/>
      <w:ind w:hanging="450" w:start="1710" w:end="1440"/>
      <w:jc w:val="start"/>
    </w:pPr>
    <w:rPr/>
  </w:style>
  <w:style w:type="paragraph" w:styleId="TOC5">
    <w:name w:val="toc 5"/>
    <w:basedOn w:val="Normal"/>
    <w:next w:val="Normal"/>
    <w:pPr>
      <w:tabs>
        <w:tab w:val="clear" w:pos="720"/>
        <w:tab w:val="left" w:pos="2160" w:leader="none"/>
        <w:tab w:val="left" w:pos="8280" w:leader="dot"/>
        <w:tab w:val="right" w:pos="8640" w:leader="dot"/>
      </w:tabs>
      <w:spacing w:lineRule="auto" w:line="240" w:before="0" w:after="240"/>
      <w:ind w:hanging="446" w:start="2160" w:end="1440"/>
      <w:jc w:val="start"/>
    </w:pPr>
    <w:rPr/>
  </w:style>
  <w:style w:type="paragraph" w:styleId="TOC6">
    <w:name w:val="toc 6"/>
    <w:basedOn w:val="Normal"/>
    <w:next w:val="Normal"/>
    <w:pPr>
      <w:tabs>
        <w:tab w:val="clear" w:pos="720"/>
        <w:tab w:val="left" w:pos="2700" w:leader="none"/>
        <w:tab w:val="left" w:pos="8280" w:leader="dot"/>
        <w:tab w:val="right" w:pos="8640" w:leader="dot"/>
      </w:tabs>
      <w:spacing w:lineRule="auto" w:line="240" w:before="0" w:after="240"/>
      <w:ind w:hanging="540" w:start="2700" w:end="1440"/>
      <w:jc w:val="start"/>
    </w:pPr>
    <w:rPr/>
  </w:style>
  <w:style w:type="paragraph" w:styleId="BodyTextContinued">
    <w:name w:val="Body Text Continued"/>
    <w:basedOn w:val="BodyText"/>
    <w:next w:val="BodyText"/>
    <w:qFormat/>
    <w:pPr>
      <w:ind w:hanging="0" w:start="0" w:end="0"/>
    </w:pPr>
    <w:rPr/>
  </w:style>
  <w:style w:type="paragraph" w:styleId="Heading0">
    <w:name w:val="Heading 0"/>
    <w:basedOn w:val="Normal"/>
    <w:next w:val="BodyText"/>
    <w:qFormat/>
    <w:pPr>
      <w:keepNext w:val="true"/>
      <w:spacing w:lineRule="auto" w:line="240" w:before="0" w:after="240"/>
      <w:jc w:val="center"/>
    </w:pPr>
    <w:rPr>
      <w:b/>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FERC.dot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2001-11-07T20:26:00Z</dcterms:created>
  <dc:creator>Meiser, Meg </dc:creator>
  <dc:description/>
  <cp:keywords>June 1999</cp:keywords>
  <dc:language>en-CA</dc:language>
  <cp:lastModifiedBy>Meiser, Meg </cp:lastModifiedBy>
  <dcterms:modified xsi:type="dcterms:W3CDTF">2001-11-07T20:26:00Z</dcterms:modified>
  <cp:revision>2</cp:revision>
  <dc:subject/>
  <dc:title>FERC Pleading Template</dc:title>
</cp:coreProperties>
</file>