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SECOND AMENDMENT TO ISDA MASTER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Second Amendment to ISDA Master Agreement dated as of November ___, 2001 (this “Amendment”), is made and entered into by and between National Bank of Canada (“Counterparty”) and Enron North America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November 25, 1997 (the “Master Agreement”);</w:t>
      </w:r>
    </w:p>
    <w:p>
      <w:pPr>
        <w:pStyle w:val="Normal"/>
        <w:jc w:val="both"/>
        <w:rPr>
          <w:sz w:val="22"/>
        </w:rPr>
      </w:pPr>
      <w:r>
        <w:rPr>
          <w:sz w:val="22"/>
        </w:rPr>
      </w:r>
    </w:p>
    <w:p>
      <w:pPr>
        <w:pStyle w:val="Normal"/>
        <w:jc w:val="both"/>
        <w:rPr>
          <w:sz w:val="22"/>
        </w:rPr>
      </w:pPr>
      <w:r>
        <w:rPr>
          <w:sz w:val="22"/>
        </w:rPr>
        <w:tab/>
        <w:t>WHEREAS, Counterparty and ENA entered into that certain first amendment to Master Agreement dated effective as of April 10, 2000 (the “First Amendment”);</w:t>
      </w:r>
    </w:p>
    <w:p>
      <w:pPr>
        <w:pStyle w:val="Normal"/>
        <w:jc w:val="both"/>
        <w:rPr>
          <w:sz w:val="22"/>
        </w:rPr>
      </w:pPr>
      <w:r>
        <w:rPr>
          <w:sz w:val="22"/>
        </w:rPr>
      </w:r>
    </w:p>
    <w:p>
      <w:pPr>
        <w:pStyle w:val="Normal"/>
        <w:jc w:val="both"/>
        <w:rPr>
          <w:sz w:val="22"/>
        </w:rPr>
      </w:pPr>
      <w:r>
        <w:rPr>
          <w:sz w:val="22"/>
        </w:rPr>
        <w:tab/>
        <w:t>WHEREAS, the parties hereto desire to amend the Master Agreement and the CSA (as defined below), as amended by the First Amendment,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w:t>
      </w:r>
    </w:p>
    <w:p>
      <w:pPr>
        <w:pStyle w:val="Normal"/>
        <w:jc w:val="both"/>
        <w:rPr>
          <w:sz w:val="22"/>
        </w:rPr>
      </w:pPr>
      <w:r>
        <w:rPr>
          <w:sz w:val="22"/>
        </w:rPr>
      </w:r>
    </w:p>
    <w:p>
      <w:pPr>
        <w:pStyle w:val="Normal"/>
        <w:jc w:val="both"/>
        <w:rPr>
          <w:sz w:val="22"/>
        </w:rPr>
      </w:pPr>
      <w:r>
        <w:rPr>
          <w:sz w:val="22"/>
        </w:rPr>
        <w:tab/>
        <w:t>Paragraph 13 to the ISDA Credit Support Annex and the attachments thereto (the “CSA”) is hereby amended as follows:</w:t>
      </w:r>
    </w:p>
    <w:p>
      <w:pPr>
        <w:pStyle w:val="Normal"/>
        <w:jc w:val="both"/>
        <w:rPr>
          <w:sz w:val="22"/>
        </w:rPr>
      </w:pPr>
      <w:r>
        <w:rPr>
          <w:sz w:val="22"/>
        </w:rPr>
      </w:r>
    </w:p>
    <w:p>
      <w:pPr>
        <w:pStyle w:val="Normal"/>
        <w:numPr>
          <w:ilvl w:val="0"/>
          <w:numId w:val="2"/>
        </w:numPr>
        <w:tabs>
          <w:tab w:val="clear" w:pos="720"/>
        </w:tabs>
        <w:ind w:hanging="0" w:start="0" w:end="0"/>
        <w:jc w:val="both"/>
        <w:rPr>
          <w:sz w:val="22"/>
        </w:rPr>
      </w:pPr>
      <w:r>
        <w:rPr>
          <w:sz w:val="22"/>
        </w:rPr>
        <w:t>The definition of Eligible Collateral set forth in Paragraph 13(b)(ii) of the CSA is hereby amended to include Cash.</w:t>
      </w:r>
    </w:p>
    <w:p>
      <w:pPr>
        <w:pStyle w:val="Normal"/>
        <w:jc w:val="both"/>
        <w:rPr>
          <w:sz w:val="22"/>
        </w:rPr>
      </w:pPr>
      <w:r>
        <w:rPr>
          <w:sz w:val="22"/>
        </w:rPr>
      </w:r>
    </w:p>
    <w:p>
      <w:pPr>
        <w:pStyle w:val="BodyText"/>
        <w:rPr/>
      </w:pPr>
      <w:r>
        <w:rPr/>
        <w:t>2.</w:t>
        <w:tab/>
        <w:t>Except as amended hereby, all other terms and conditions of the Master Agreement and the CSA, as amended,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Master Agreement.</w:t>
      </w:r>
      <w:r>
        <w:br w:type="page"/>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r>
              <w:rPr>
                <w:b/>
                <w:bCs/>
                <w:sz w:val="22"/>
              </w:rPr>
              <w:t>NATIONAL BANK OF CANADA</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2001-11-26T16:47:00Z</dcterms:created>
  <dc:creator>mheard</dc:creator>
  <dc:description/>
  <dc:language>en-CA</dc:language>
  <cp:lastModifiedBy>cstclai</cp:lastModifiedBy>
  <cp:lastPrinted>2001-11-26T13:23:00Z</cp:lastPrinted>
  <dcterms:modified xsi:type="dcterms:W3CDTF">2001-11-26T16:53:00Z</dcterms:modified>
  <cp:revision>3</cp:revision>
  <dc:subject/>
  <dc:title>AMENDMENT TO MASTER AGREEMENT</dc:title>
</cp:coreProperties>
</file>