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 E M O R A N D U M</w:t>
      </w:r>
    </w:p>
    <w:p>
      <w:pPr>
        <w:pStyle w:val="Heading"/>
        <w:rPr/>
      </w:pPr>
      <w:r>
        <w:rPr/>
      </w:r>
    </w:p>
    <w:p>
      <w:pPr>
        <w:pStyle w:val="Subtitle"/>
        <w:rPr/>
      </w:pPr>
      <w:r>
        <w:rPr/>
        <w:t>TO:</w:t>
        <w:tab/>
        <w:tab/>
        <w:t>North American Energy and Developing Products Committee</w:t>
      </w:r>
    </w:p>
    <w:p>
      <w:pPr>
        <w:pStyle w:val="Subtitle"/>
        <w:rPr/>
      </w:pPr>
      <w:r>
        <w:rPr/>
      </w:r>
    </w:p>
    <w:p>
      <w:pPr>
        <w:pStyle w:val="Subtitle"/>
        <w:rPr/>
      </w:pPr>
      <w:r>
        <w:rPr/>
        <w:t>FROM:</w:t>
        <w:tab/>
        <w:t>Stacy Carey</w:t>
      </w:r>
    </w:p>
    <w:p>
      <w:pPr>
        <w:pStyle w:val="Subtitle"/>
        <w:rPr/>
      </w:pPr>
      <w:r>
        <w:rPr/>
      </w:r>
    </w:p>
    <w:p>
      <w:pPr>
        <w:pStyle w:val="Subtitle"/>
        <w:rPr/>
      </w:pPr>
      <w:r>
        <w:rPr/>
        <w:t>CC:</w:t>
        <w:tab/>
        <w:tab/>
        <w:t>Mark Haedicke, Chair</w:t>
      </w:r>
    </w:p>
    <w:p>
      <w:pPr>
        <w:pStyle w:val="Subtitle"/>
        <w:rPr/>
      </w:pPr>
      <w:r>
        <w:rPr/>
      </w:r>
    </w:p>
    <w:p>
      <w:pPr>
        <w:pStyle w:val="Subtitle"/>
        <w:rPr/>
      </w:pPr>
      <w:r>
        <w:rPr/>
        <w:t>RE:</w:t>
        <w:tab/>
        <w:tab/>
        <w:t>July Meeting Summary &amp; Documentation Projects</w:t>
      </w:r>
    </w:p>
    <w:p>
      <w:pPr>
        <w:pStyle w:val="Heading2"/>
        <w:pBdr>
          <w:bottom w:val="single" w:sz="6" w:space="1" w:color="000000"/>
        </w:pBdr>
        <w:ind w:hanging="0" w:start="0"/>
        <w:rPr>
          <w:rFonts w:ascii="Times New Roman" w:hAnsi="Times New Roman" w:cs="Times New Roman"/>
          <w:i w:val="false"/>
          <w:i w:val="false"/>
        </w:rPr>
      </w:pPr>
      <w:r>
        <w:rPr>
          <w:rFonts w:cs="Times New Roman" w:ascii="Times New Roman" w:hAnsi="Times New Roman"/>
          <w:i w:val="false"/>
        </w:rPr>
        <w:t>DATE:</w:t>
        <w:tab/>
        <w:t>August 10, 2001</w:t>
      </w:r>
    </w:p>
    <w:p>
      <w:pPr>
        <w:pStyle w:val="Normal"/>
        <w:rPr>
          <w:rFonts w:ascii="Times New Roman" w:hAnsi="Times New Roman" w:cs="Times New Roman"/>
          <w:b/>
          <w:i/>
          <w:i/>
        </w:rPr>
      </w:pPr>
      <w:r>
        <w:rPr>
          <w:rFonts w:cs="Times New Roman"/>
          <w:b/>
          <w:i/>
        </w:rPr>
      </w:r>
    </w:p>
    <w:p>
      <w:pPr>
        <w:pStyle w:val="Heading3"/>
        <w:ind w:hanging="0" w:start="0"/>
        <w:rPr/>
      </w:pPr>
      <w:r>
        <w:rPr/>
        <w:t xml:space="preserve">I. </w:t>
        <w:tab/>
        <w:t>Meeting Summary – July 27, 2001</w:t>
      </w:r>
    </w:p>
    <w:p>
      <w:pPr>
        <w:pStyle w:val="Normal"/>
        <w:rPr/>
      </w:pPr>
      <w:r>
        <w:rPr/>
      </w:r>
    </w:p>
    <w:p>
      <w:pPr>
        <w:pStyle w:val="Normal"/>
        <w:numPr>
          <w:ilvl w:val="0"/>
          <w:numId w:val="2"/>
        </w:numPr>
        <w:tabs>
          <w:tab w:val="left" w:pos="720" w:leader="none"/>
        </w:tabs>
        <w:ind w:hanging="360" w:start="2160" w:end="0"/>
        <w:rPr/>
      </w:pPr>
      <w:r>
        <w:rPr/>
        <w:t xml:space="preserve">The Committee held wide-ranging discussions about inconsistencies that exist across the various energy market master agreements. The general stated goal was to move toward standardized contracts in an effort to improve market certainty and market liquidity.  </w:t>
      </w:r>
    </w:p>
    <w:p>
      <w:pPr>
        <w:pStyle w:val="Normal"/>
        <w:rPr/>
      </w:pPr>
      <w:r>
        <w:rPr/>
      </w:r>
    </w:p>
    <w:p>
      <w:pPr>
        <w:pStyle w:val="Normal"/>
        <w:numPr>
          <w:ilvl w:val="0"/>
          <w:numId w:val="2"/>
        </w:numPr>
        <w:tabs>
          <w:tab w:val="left" w:pos="720" w:leader="none"/>
        </w:tabs>
        <w:ind w:hanging="360" w:start="2160" w:end="0"/>
        <w:rPr/>
      </w:pPr>
      <w:r>
        <w:rPr/>
        <w:t xml:space="preserve">The following issues were identified as potential future focus of the committee: </w:t>
      </w:r>
    </w:p>
    <w:p>
      <w:pPr>
        <w:pStyle w:val="Normal"/>
        <w:numPr>
          <w:ilvl w:val="0"/>
          <w:numId w:val="7"/>
        </w:numPr>
        <w:ind w:hanging="360" w:start="2520" w:end="0"/>
        <w:rPr/>
      </w:pPr>
      <w:r>
        <w:rPr/>
        <w:t>developing a set of definitions for use in documenting weather derivatives,</w:t>
      </w:r>
    </w:p>
    <w:p>
      <w:pPr>
        <w:pStyle w:val="Normal"/>
        <w:numPr>
          <w:ilvl w:val="0"/>
          <w:numId w:val="7"/>
        </w:numPr>
        <w:ind w:hanging="360" w:start="2520" w:end="0"/>
        <w:rPr/>
      </w:pPr>
      <w:r>
        <w:rPr/>
        <w:t>updating ISDA's 1993 Commodity Derivatives Definitions (as supplemented) to widen and update their coverage,</w:t>
      </w:r>
    </w:p>
    <w:p>
      <w:pPr>
        <w:pStyle w:val="Normal"/>
        <w:numPr>
          <w:ilvl w:val="0"/>
          <w:numId w:val="7"/>
        </w:numPr>
        <w:ind w:hanging="360" w:start="2520" w:end="0"/>
        <w:rPr/>
      </w:pPr>
      <w:r>
        <w:rPr/>
        <w:t>working to harmonize provisions across the various energy market master agreements on issues such as termination, netting and set-off,</w:t>
      </w:r>
    </w:p>
    <w:p>
      <w:pPr>
        <w:pStyle w:val="Normal"/>
        <w:numPr>
          <w:ilvl w:val="0"/>
          <w:numId w:val="7"/>
        </w:numPr>
        <w:ind w:hanging="360" w:start="2520" w:end="0"/>
        <w:rPr/>
      </w:pPr>
      <w:r>
        <w:rPr/>
        <w:t>developing a single agreement (by product) for physical as well as financial trading as ISDA agreements differ from agreements dealing with physical trading,</w:t>
      </w:r>
    </w:p>
    <w:p>
      <w:pPr>
        <w:pStyle w:val="Normal"/>
        <w:numPr>
          <w:ilvl w:val="0"/>
          <w:numId w:val="7"/>
        </w:numPr>
        <w:ind w:hanging="360" w:start="2520" w:end="0"/>
        <w:rPr/>
      </w:pPr>
      <w:r>
        <w:rPr/>
        <w:t xml:space="preserve">develop specific bridging provisions for the energy markets in context of the 2001 ISDA Cross-Agreement Bridge </w:t>
      </w:r>
    </w:p>
    <w:p>
      <w:pPr>
        <w:pStyle w:val="Normal"/>
        <w:rPr/>
      </w:pPr>
      <w:r>
        <w:rPr/>
      </w:r>
    </w:p>
    <w:p>
      <w:pPr>
        <w:pStyle w:val="Normal"/>
        <w:rPr/>
      </w:pPr>
      <w:r>
        <w:rPr/>
      </w:r>
    </w:p>
    <w:p>
      <w:pPr>
        <w:pStyle w:val="Normal"/>
        <w:numPr>
          <w:ilvl w:val="0"/>
          <w:numId w:val="3"/>
        </w:numPr>
        <w:tabs>
          <w:tab w:val="left" w:pos="720" w:leader="none"/>
        </w:tabs>
        <w:ind w:hanging="360" w:start="2160" w:end="0"/>
        <w:rPr/>
      </w:pPr>
      <w:r>
        <w:rPr/>
        <w:t>Participants suggested including business line participants from various firms (dealers and credit officers) as the committee reviews potential solutions. Various participants also signaled their desire to commit resources to documentation efforts moving forward.</w:t>
      </w:r>
    </w:p>
    <w:p>
      <w:pPr>
        <w:pStyle w:val="Normal"/>
        <w:rPr/>
      </w:pPr>
      <w:r>
        <w:rPr/>
      </w:r>
    </w:p>
    <w:p>
      <w:pPr>
        <w:pStyle w:val="Normal"/>
        <w:numPr>
          <w:ilvl w:val="0"/>
          <w:numId w:val="6"/>
        </w:numPr>
        <w:tabs>
          <w:tab w:val="left" w:pos="720" w:leader="none"/>
        </w:tabs>
        <w:ind w:hanging="360" w:start="2160" w:end="0"/>
        <w:rPr/>
      </w:pPr>
      <w:r>
        <w:rPr/>
        <w:t>It was agreed that a memo would be circulated to the committee that summarizes the issues and presents a list of alternative solutions with thought given to short-term and long-term planning.</w:t>
      </w:r>
    </w:p>
    <w:p>
      <w:pPr>
        <w:pStyle w:val="Normal"/>
        <w:rPr/>
      </w:pPr>
      <w:r>
        <w:rPr/>
      </w:r>
    </w:p>
    <w:p>
      <w:pPr>
        <w:pStyle w:val="Normal"/>
        <w:numPr>
          <w:ilvl w:val="0"/>
          <w:numId w:val="9"/>
        </w:numPr>
        <w:tabs>
          <w:tab w:val="left" w:pos="720" w:leader="none"/>
        </w:tabs>
        <w:ind w:hanging="360" w:start="720" w:end="0"/>
        <w:rPr/>
      </w:pPr>
      <w:r>
        <w:rPr/>
        <w:t>The following presentations were made to the committee: John Berry – ISDA Cross-Agreement Bridge, Mark Haedicke – California Energy Solutions, Stacy Carey – Regulatory Issues (Bankruptcy, Retail Swaps, EU Market Abuse Directive, FSA Consultation Paper – Energy Market Participants), Meg Timberg – Ontario Electricity Market</w:t>
      </w:r>
    </w:p>
    <w:p>
      <w:pPr>
        <w:pStyle w:val="Normal"/>
        <w:rPr/>
      </w:pPr>
      <w:r>
        <w:rPr/>
      </w:r>
    </w:p>
    <w:p>
      <w:pPr>
        <w:pStyle w:val="Normal"/>
        <w:numPr>
          <w:ilvl w:val="0"/>
          <w:numId w:val="5"/>
        </w:numPr>
        <w:tabs>
          <w:tab w:val="left" w:pos="720" w:leader="none"/>
        </w:tabs>
        <w:ind w:hanging="360" w:start="720" w:end="0"/>
        <w:rPr/>
      </w:pPr>
      <w:r>
        <w:rPr/>
        <w:t xml:space="preserve">Supporting information for some of  the presentations can be accessed under the Energy Committee section on the ISDA web site: </w:t>
      </w:r>
      <w:hyperlink r:id="rId2">
        <w:r>
          <w:rPr>
            <w:rStyle w:val="Hyperlink"/>
          </w:rPr>
          <w:t>http://www.isda.org/c_and_a/comm_der.html</w:t>
        </w:r>
      </w:hyperlink>
    </w:p>
    <w:p>
      <w:pPr>
        <w:pStyle w:val="Normal"/>
        <w:ind w:start="360" w:end="0"/>
        <w:rPr/>
      </w:pPr>
      <w:r>
        <w:rPr/>
      </w:r>
    </w:p>
    <w:p>
      <w:pPr>
        <w:pStyle w:val="Heading7"/>
        <w:ind w:hanging="0" w:start="0"/>
        <w:rPr>
          <w:b/>
          <w:i w:val="false"/>
          <w:i w:val="false"/>
        </w:rPr>
      </w:pPr>
      <w:r>
        <w:rPr>
          <w:b/>
          <w:i w:val="false"/>
        </w:rPr>
        <w:t xml:space="preserve">II. </w:t>
        <w:tab/>
        <w:t>Documentation Solutions</w:t>
      </w:r>
    </w:p>
    <w:p>
      <w:pPr>
        <w:pStyle w:val="Normal"/>
        <w:numPr>
          <w:ilvl w:val="0"/>
          <w:numId w:val="8"/>
        </w:numPr>
        <w:rPr>
          <w:b/>
        </w:rPr>
      </w:pPr>
      <w:r>
        <w:rPr>
          <w:b/>
          <w:i/>
        </w:rPr>
      </w:r>
    </w:p>
    <w:p>
      <w:pPr>
        <w:pStyle w:val="Normal"/>
        <w:numPr>
          <w:ilvl w:val="0"/>
          <w:numId w:val="4"/>
        </w:numPr>
        <w:tabs>
          <w:tab w:val="clear" w:pos="720"/>
          <w:tab w:val="left" w:pos="1080" w:leader="none"/>
        </w:tabs>
        <w:ind w:hanging="360" w:start="1080" w:end="0"/>
        <w:rPr>
          <w:b/>
        </w:rPr>
      </w:pPr>
      <w:r>
        <w:rPr/>
        <w:t xml:space="preserve">The attached </w:t>
      </w:r>
      <w:r>
        <w:rPr>
          <w:b/>
          <w:u w:val="single"/>
        </w:rPr>
        <w:t>“Documentation Project’</w:t>
      </w:r>
      <w:r>
        <w:rPr/>
        <w:t xml:space="preserve"> table outlines various documentation projects for your review and consideration.  </w:t>
      </w:r>
    </w:p>
    <w:p>
      <w:pPr>
        <w:pStyle w:val="Normal"/>
        <w:ind w:start="720" w:end="0"/>
        <w:rPr>
          <w:b/>
        </w:rPr>
      </w:pPr>
      <w:r>
        <w:rPr>
          <w:b/>
        </w:rPr>
      </w:r>
    </w:p>
    <w:p>
      <w:pPr>
        <w:pStyle w:val="Normal"/>
        <w:numPr>
          <w:ilvl w:val="0"/>
          <w:numId w:val="4"/>
        </w:numPr>
        <w:tabs>
          <w:tab w:val="clear" w:pos="720"/>
          <w:tab w:val="left" w:pos="1080" w:leader="none"/>
        </w:tabs>
        <w:ind w:hanging="360" w:start="1080" w:end="0"/>
        <w:rPr>
          <w:b/>
        </w:rPr>
      </w:pPr>
      <w:r>
        <w:rPr/>
        <w:t xml:space="preserve">In an effort to assess the future focus of the committee, we would appreciate your adding your comments and views to the table with a particular focus on prioritization of the projects.  </w:t>
      </w:r>
    </w:p>
    <w:p>
      <w:pPr>
        <w:pStyle w:val="Normal"/>
        <w:rPr>
          <w:b/>
        </w:rPr>
      </w:pPr>
      <w:r>
        <w:rPr>
          <w:b/>
        </w:rPr>
      </w:r>
    </w:p>
    <w:p>
      <w:pPr>
        <w:pStyle w:val="Normal"/>
        <w:numPr>
          <w:ilvl w:val="0"/>
          <w:numId w:val="4"/>
        </w:numPr>
        <w:tabs>
          <w:tab w:val="clear" w:pos="720"/>
          <w:tab w:val="left" w:pos="1080" w:leader="none"/>
        </w:tabs>
        <w:ind w:hanging="360" w:start="1080" w:end="0"/>
        <w:rPr>
          <w:b/>
        </w:rPr>
      </w:pPr>
      <w:r>
        <w:rPr/>
        <w:t xml:space="preserve">Please return you comments to Stacy Carey: </w:t>
      </w:r>
      <w:hyperlink r:id="rId3">
        <w:r>
          <w:rPr>
            <w:rStyle w:val="Hyperlink"/>
          </w:rPr>
          <w:t>scarey@isda.org</w:t>
        </w:r>
      </w:hyperlink>
      <w:r>
        <w:rPr/>
        <w:t>.</w:t>
      </w:r>
    </w:p>
    <w:p>
      <w:pPr>
        <w:pStyle w:val="Normal"/>
        <w:rPr>
          <w:b/>
        </w:rPr>
      </w:pPr>
      <w:r>
        <w:rPr>
          <w:b/>
        </w:rPr>
      </w:r>
    </w:p>
    <w:p>
      <w:pPr>
        <w:pStyle w:val="Normal"/>
        <w:rPr/>
      </w:pPr>
      <w:r>
        <w:rPr/>
      </w:r>
    </w:p>
    <w:p>
      <w:pPr>
        <w:pStyle w:val="Normal"/>
        <w:rPr>
          <w:b/>
        </w:rPr>
      </w:pPr>
      <w:r>
        <w:rPr>
          <w:b/>
        </w:rPr>
        <w:t xml:space="preserve"> </w:t>
      </w:r>
    </w:p>
    <w:p>
      <w:pPr>
        <w:pStyle w:val="Normal"/>
        <w:rPr>
          <w:b/>
          <w:lang w:val="en-GB"/>
        </w:rPr>
      </w:pPr>
      <w:r>
        <w:rPr>
          <w:b/>
          <w:lang w:val="en-GB"/>
        </w:rPr>
      </w:r>
    </w:p>
    <w:p>
      <w:pPr>
        <w:pStyle w:val="Normal"/>
        <w:rPr>
          <w:lang w:val="en-GB"/>
        </w:rPr>
      </w:pPr>
      <w:r>
        <w:rPr>
          <w:lang w:val="en-GB"/>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rPr>
    </w:pPr>
    <w:r>
      <w:rPr>
        <w:caps/>
        <w:sz w:val="20"/>
        <w:lang w:val="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upperRoman"/>
      <w:lvlText w:val=""/>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both"/>
      <w:outlineLvl w:val="3"/>
    </w:pPr>
    <w:rPr/>
  </w:style>
  <w:style w:type="paragraph" w:styleId="Heading5">
    <w:name w:val="heading 5"/>
    <w:basedOn w:val="Normal"/>
    <w:next w:val="Normal"/>
    <w:qFormat/>
    <w:pPr>
      <w:keepNext w:val="true"/>
      <w:numPr>
        <w:ilvl w:val="4"/>
        <w:numId w:val="1"/>
      </w:numPr>
      <w:jc w:val="center"/>
      <w:outlineLvl w:val="4"/>
    </w:pPr>
    <w:rPr>
      <w:b/>
      <w:bCs/>
      <w:sz w:val="20"/>
    </w:rPr>
  </w:style>
  <w:style w:type="paragraph" w:styleId="Heading6">
    <w:name w:val="heading 6"/>
    <w:basedOn w:val="Normal"/>
    <w:next w:val="Normal"/>
    <w:qFormat/>
    <w:pPr>
      <w:keepNext w:val="true"/>
      <w:numPr>
        <w:ilvl w:val="5"/>
        <w:numId w:val="1"/>
      </w:numPr>
      <w:outlineLvl w:val="5"/>
    </w:pPr>
    <w:rPr>
      <w:b/>
      <w:bCs/>
      <w:sz w:val="20"/>
    </w:rPr>
  </w:style>
  <w:style w:type="paragraph" w:styleId="Heading7">
    <w:name w:val="heading 7"/>
    <w:basedOn w:val="Normal"/>
    <w:next w:val="Normal"/>
    <w:qFormat/>
    <w:pPr>
      <w:keepNext w:val="true"/>
      <w:numPr>
        <w:ilvl w:val="6"/>
        <w:numId w:val="1"/>
      </w:numPr>
      <w:outlineLvl w:val="6"/>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Subtitle">
    <w:name w:val="Subtitle"/>
    <w:basedOn w:val="Normal"/>
    <w:next w:val="BodyText"/>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c_and_a/comm_der.html" TargetMode="External"/><Relationship Id="rId3" Type="http://schemas.openxmlformats.org/officeDocument/2006/relationships/hyperlink" Target="mailto:scarey@isda.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ISDA Letterhead2</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2001-08-10T21:08:00Z</dcterms:created>
  <dc:creator>Barbara Hanlon</dc:creator>
  <dc:description/>
  <dc:language>en-CA</dc:language>
  <cp:lastModifiedBy>Stacy Carey</cp:lastModifiedBy>
  <cp:lastPrinted>2001-08-08T17:16:00Z</cp:lastPrinted>
  <dcterms:modified xsi:type="dcterms:W3CDTF">2001-08-10T21:08:00Z</dcterms:modified>
  <cp:revision>2</cp:revision>
  <dc:subject/>
  <dc:title>M E M O R A N D U M</dc:title>
</cp:coreProperties>
</file>