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3600" w:end="0"/>
        <w:rPr>
          <w:sz w:val="20"/>
        </w:rPr>
      </w:pPr>
      <w:r>
        <w:rPr>
          <w:sz w:val="20"/>
        </w:rPr>
        <w:t>May 23, 2000</w:t>
      </w:r>
    </w:p>
    <w:p>
      <w:pPr>
        <w:pStyle w:val="Normal"/>
        <w:rPr>
          <w:sz w:val="20"/>
        </w:rPr>
      </w:pPr>
      <w:r>
        <w:rPr>
          <w:sz w:val="20"/>
        </w:rPr>
      </w:r>
    </w:p>
    <w:p>
      <w:pPr>
        <w:pStyle w:val="Normal"/>
        <w:rPr>
          <w:sz w:val="20"/>
        </w:rPr>
      </w:pPr>
      <w:r>
        <w:rPr>
          <w:sz w:val="20"/>
        </w:rPr>
        <w:t>The Honorable Frank Murkowski</w:t>
        <w:tab/>
        <w:tab/>
        <w:tab/>
        <w:tab/>
        <w:tab/>
        <w:t>The Honorable Jeff Bingaman</w:t>
      </w:r>
    </w:p>
    <w:p>
      <w:pPr>
        <w:pStyle w:val="Normal"/>
        <w:rPr>
          <w:sz w:val="20"/>
        </w:rPr>
      </w:pPr>
      <w:r>
        <w:rPr>
          <w:sz w:val="20"/>
        </w:rPr>
        <w:t>Chairman</w:t>
        <w:tab/>
        <w:tab/>
        <w:tab/>
        <w:tab/>
        <w:tab/>
        <w:tab/>
        <w:tab/>
        <w:t>Ranking Member</w:t>
      </w:r>
    </w:p>
    <w:p>
      <w:pPr>
        <w:pStyle w:val="Normal"/>
        <w:rPr>
          <w:sz w:val="20"/>
        </w:rPr>
      </w:pPr>
      <w:r>
        <w:rPr>
          <w:sz w:val="20"/>
        </w:rPr>
        <w:t>Senate Energy and Natural Resources Committee</w:t>
        <w:tab/>
        <w:tab/>
        <w:tab/>
        <w:t>Senate Energy and Natural Resources Committee</w:t>
      </w:r>
    </w:p>
    <w:p>
      <w:pPr>
        <w:pStyle w:val="Normal"/>
        <w:rPr>
          <w:sz w:val="20"/>
        </w:rPr>
      </w:pPr>
      <w:r>
        <w:rPr>
          <w:sz w:val="20"/>
        </w:rPr>
        <w:t>United States Senate</w:t>
        <w:tab/>
        <w:tab/>
        <w:tab/>
        <w:tab/>
        <w:tab/>
        <w:tab/>
        <w:t>United States Senate</w:t>
      </w:r>
    </w:p>
    <w:p>
      <w:pPr>
        <w:pStyle w:val="Normal"/>
        <w:rPr>
          <w:sz w:val="20"/>
        </w:rPr>
      </w:pPr>
      <w:r>
        <w:rPr>
          <w:sz w:val="20"/>
        </w:rPr>
        <w:t>322 Hart Senate Office Building</w:t>
        <w:tab/>
        <w:tab/>
        <w:tab/>
        <w:tab/>
        <w:tab/>
        <w:t>703 Hart Senate Office Building</w:t>
      </w:r>
    </w:p>
    <w:p>
      <w:pPr>
        <w:pStyle w:val="Normal"/>
        <w:rPr>
          <w:sz w:val="20"/>
        </w:rPr>
      </w:pPr>
      <w:r>
        <w:rPr>
          <w:sz w:val="20"/>
        </w:rPr>
        <w:t>Washington, DC  20510</w:t>
        <w:tab/>
        <w:tab/>
        <w:tab/>
        <w:tab/>
        <w:tab/>
        <w:tab/>
        <w:t>Washington, DC  20510</w:t>
      </w:r>
    </w:p>
    <w:p>
      <w:pPr>
        <w:pStyle w:val="Normal"/>
        <w:rPr>
          <w:sz w:val="20"/>
        </w:rPr>
      </w:pPr>
      <w:r>
        <w:rPr>
          <w:sz w:val="20"/>
        </w:rPr>
      </w:r>
    </w:p>
    <w:p>
      <w:pPr>
        <w:pStyle w:val="Normal"/>
        <w:rPr>
          <w:sz w:val="20"/>
        </w:rPr>
      </w:pPr>
      <w:r>
        <w:rPr>
          <w:sz w:val="20"/>
        </w:rPr>
        <w:t>Dear Mr. Chairman and Senator Bingaman:</w:t>
      </w:r>
    </w:p>
    <w:p>
      <w:pPr>
        <w:pStyle w:val="Normal"/>
        <w:rPr>
          <w:sz w:val="20"/>
        </w:rPr>
      </w:pPr>
      <w:r>
        <w:rPr>
          <w:sz w:val="20"/>
        </w:rPr>
      </w:r>
    </w:p>
    <w:p>
      <w:pPr>
        <w:pStyle w:val="Normal"/>
        <w:ind w:firstLine="720" w:end="0"/>
        <w:rPr>
          <w:sz w:val="20"/>
        </w:rPr>
      </w:pPr>
      <w:r>
        <w:rPr>
          <w:sz w:val="20"/>
        </w:rPr>
        <w:t>On May 16 the National Association of Regulatory Utility Commissioners (NARUC) sent you a letter outlining our positions on issues addressing electric restructuring legislation in general and specifically as NARUC’s positions pertain to S. 2098.  Today NARUC brings to your attention concerns we have on a number of proposals that may be before the Senate Energy and Natural Resources Committee as you continue the markup of S. 2098.</w:t>
      </w:r>
    </w:p>
    <w:p>
      <w:pPr>
        <w:pStyle w:val="Normal"/>
        <w:rPr>
          <w:sz w:val="20"/>
        </w:rPr>
      </w:pPr>
      <w:r>
        <w:rPr>
          <w:sz w:val="20"/>
        </w:rPr>
      </w:r>
    </w:p>
    <w:p>
      <w:pPr>
        <w:pStyle w:val="Normal"/>
        <w:ind w:firstLine="720" w:end="0"/>
        <w:rPr>
          <w:sz w:val="20"/>
        </w:rPr>
      </w:pPr>
      <w:r>
        <w:rPr>
          <w:sz w:val="20"/>
        </w:rPr>
        <w:t>Concerning the fundamental issue of reliability, NARUC continues to support strong savings clause language such as that currently found in Title III, section 303 of S. 2098.  However, NARUC reiterates the position we stated in our letter dated May 16, “…in the spirit of producing a workable mechanism to bring closure to this most important issue, we urge you to consider the attached reliability savings clause language should the Committee determine that a substitute for section 303 is necessary.”  Preserving a State role over facilities necessary for providing reliable service to all consumers is essential.  NARUC must therefore strongly oppose Senator Bingaman’s Amendment Number 7, unless the attached State savings clause is included.</w:t>
      </w:r>
    </w:p>
    <w:p>
      <w:pPr>
        <w:pStyle w:val="Normal"/>
        <w:rPr>
          <w:sz w:val="20"/>
        </w:rPr>
      </w:pPr>
      <w:r>
        <w:rPr>
          <w:sz w:val="20"/>
        </w:rPr>
      </w:r>
    </w:p>
    <w:p>
      <w:pPr>
        <w:pStyle w:val="Normal"/>
        <w:ind w:firstLine="720" w:end="0"/>
        <w:rPr/>
      </w:pPr>
      <w:r>
        <w:rPr>
          <w:sz w:val="20"/>
        </w:rPr>
        <w:t xml:space="preserve">Regarding the State and Federal jurisdictional issue, we are aware that Senator Bingaman’s Amendment Number 2 and an amendment being proposed by the “Restructuring Roundtable” (“Moler Amendment”) advocate expanding FERC jurisdictional authority over “bundled” and “unbundled” transmission.  We respectfully, but strongly, oppose both amendments.  NARUC continues to believe that the jurisdictional division should be between “retail” and “wholesale” transmission services.  States should retain authority to establish </w:t>
      </w:r>
      <w:r>
        <w:rPr>
          <w:sz w:val="20"/>
          <w:u w:val="single"/>
        </w:rPr>
        <w:t xml:space="preserve">retail </w:t>
      </w:r>
      <w:r>
        <w:rPr>
          <w:sz w:val="20"/>
        </w:rPr>
        <w:t>transmission rates unless State policies violate Federally determined open-access, non-discriminatory, competitive transmission policies.  FERC should continue to have ratemaking authority for interstate wholesale transactions and jurisdiction over transactions between suppliers and retail customers located in different States.</w:t>
      </w:r>
    </w:p>
    <w:p>
      <w:pPr>
        <w:pStyle w:val="Normal"/>
        <w:rPr>
          <w:sz w:val="20"/>
        </w:rPr>
      </w:pPr>
      <w:r>
        <w:rPr>
          <w:sz w:val="20"/>
        </w:rPr>
      </w:r>
    </w:p>
    <w:p>
      <w:pPr>
        <w:pStyle w:val="Normal"/>
        <w:ind w:firstLine="720" w:end="0"/>
        <w:rPr>
          <w:sz w:val="20"/>
        </w:rPr>
      </w:pPr>
      <w:r>
        <w:rPr>
          <w:sz w:val="20"/>
        </w:rPr>
        <w:t>We also have several concerns with Senator Bingaman’s Amendments 3 and 5.  Amendment 3 appears to unnecessarily limit State flexibility to implement programs that will assist with transitional issues that arise due to electric industry restructuring and will also hinder implementation of State specific public benefits programs.  Therefore, NARUC would oppose Senator Bingaman’s Amendment Number 3.  Rather than restrict opportunities for State support of these programs Congress should establish a Federal/State partnership to jointly fund important initiatives in this area.</w:t>
      </w:r>
    </w:p>
    <w:p>
      <w:pPr>
        <w:pStyle w:val="Normal"/>
        <w:rPr>
          <w:sz w:val="20"/>
        </w:rPr>
      </w:pPr>
      <w:r>
        <w:rPr>
          <w:sz w:val="20"/>
        </w:rPr>
      </w:r>
    </w:p>
    <w:p>
      <w:pPr>
        <w:pStyle w:val="Normal"/>
        <w:ind w:firstLine="720" w:end="0"/>
        <w:rPr>
          <w:sz w:val="20"/>
        </w:rPr>
      </w:pPr>
      <w:r>
        <w:rPr>
          <w:sz w:val="20"/>
        </w:rPr>
        <w:t>With regard to Amendment 5, NARUC prefers the FERC approach in Order 2000.  We would suggest that the voluntary RTO formation policy be given a chance to work.  Initial regional results are promising.</w:t>
      </w:r>
    </w:p>
    <w:p>
      <w:pPr>
        <w:pStyle w:val="Normal"/>
        <w:rPr>
          <w:sz w:val="20"/>
        </w:rPr>
      </w:pPr>
      <w:r>
        <w:rPr>
          <w:sz w:val="20"/>
        </w:rPr>
      </w:r>
    </w:p>
    <w:p>
      <w:pPr>
        <w:pStyle w:val="Normal"/>
        <w:ind w:firstLine="720" w:end="0"/>
        <w:rPr>
          <w:sz w:val="20"/>
        </w:rPr>
      </w:pPr>
      <w:r>
        <w:rPr>
          <w:sz w:val="20"/>
        </w:rPr>
        <w:t>Finally, we support Senator Bingaman’s Amendment 10.  As stated in our letter of May 16, we believe that the nuclear decommissioning provisions found in S. 2098 infringe upon State authority to address the recovery of retail costs.  We believe Senator Bingaman’s amendment removes this concern.</w:t>
      </w:r>
    </w:p>
    <w:p>
      <w:pPr>
        <w:pStyle w:val="Normal"/>
        <w:rPr>
          <w:sz w:val="20"/>
        </w:rPr>
      </w:pPr>
      <w:r>
        <w:rPr>
          <w:sz w:val="20"/>
        </w:rPr>
      </w:r>
    </w:p>
    <w:p>
      <w:pPr>
        <w:pStyle w:val="Normal"/>
        <w:ind w:firstLine="720" w:end="0"/>
        <w:rPr>
          <w:sz w:val="20"/>
        </w:rPr>
      </w:pPr>
      <w:r>
        <w:rPr>
          <w:sz w:val="20"/>
        </w:rPr>
        <w:t>Thank you for your attention and consideration of NARUC’s positions on these vitally important issues.</w:t>
      </w:r>
    </w:p>
    <w:p>
      <w:pPr>
        <w:pStyle w:val="Normal"/>
        <w:rPr>
          <w:sz w:val="20"/>
        </w:rPr>
      </w:pPr>
      <w:r>
        <w:rPr>
          <w:sz w:val="20"/>
        </w:rPr>
      </w:r>
    </w:p>
    <w:p>
      <w:pPr>
        <w:pStyle w:val="Normal"/>
        <w:rPr>
          <w:sz w:val="20"/>
        </w:rPr>
      </w:pPr>
      <w:r>
        <w:rPr>
          <w:sz w:val="20"/>
        </w:rPr>
        <w:tab/>
        <w:tab/>
        <w:tab/>
        <w:tab/>
        <w:tab/>
        <w:tab/>
        <w:t>Sincerely,</w:t>
      </w:r>
    </w:p>
    <w:p>
      <w:pPr>
        <w:pStyle w:val="Normal"/>
        <w:rPr>
          <w:sz w:val="20"/>
        </w:rPr>
      </w:pPr>
      <w:r>
        <w:rPr>
          <w:sz w:val="20"/>
        </w:rPr>
      </w:r>
    </w:p>
    <w:p>
      <w:pPr>
        <w:pStyle w:val="Normal"/>
        <w:rPr>
          <w:sz w:val="20"/>
        </w:rPr>
      </w:pPr>
      <w:r>
        <w:rPr>
          <w:sz w:val="20"/>
        </w:rPr>
      </w:r>
    </w:p>
    <w:p>
      <w:pPr>
        <w:pStyle w:val="Normal"/>
        <w:rPr>
          <w:sz w:val="20"/>
        </w:rPr>
      </w:pPr>
      <w:r>
        <w:rPr>
          <w:sz w:val="20"/>
        </w:rPr>
        <w:tab/>
        <w:tab/>
        <w:tab/>
        <w:tab/>
        <w:tab/>
        <w:tab/>
        <w:t>Charles D. Gray</w:t>
      </w:r>
    </w:p>
    <w:p>
      <w:pPr>
        <w:pStyle w:val="Normal"/>
        <w:rPr>
          <w:sz w:val="20"/>
        </w:rPr>
      </w:pPr>
      <w:r>
        <w:rPr>
          <w:sz w:val="20"/>
        </w:rPr>
        <w:tab/>
        <w:tab/>
        <w:tab/>
        <w:tab/>
        <w:tab/>
        <w:tab/>
        <w:t>Executive Director</w:t>
      </w:r>
    </w:p>
    <w:p>
      <w:pPr>
        <w:pStyle w:val="Normal"/>
        <w:rPr>
          <w:sz w:val="20"/>
        </w:rPr>
      </w:pPr>
      <w:r>
        <w:rPr>
          <w:sz w:val="20"/>
        </w:rPr>
      </w:r>
    </w:p>
    <w:p>
      <w:pPr>
        <w:pStyle w:val="Normal"/>
        <w:rPr>
          <w:sz w:val="20"/>
        </w:rPr>
      </w:pPr>
      <w:r>
        <w:rPr>
          <w:sz w:val="20"/>
        </w:rPr>
        <w:t>Enclosure</w:t>
      </w:r>
    </w:p>
    <w:p>
      <w:pPr>
        <w:pStyle w:val="Normal"/>
        <w:rPr>
          <w:sz w:val="20"/>
        </w:rPr>
      </w:pPr>
      <w:r>
        <w:rPr>
          <w:sz w:val="20"/>
        </w:rPr>
        <w:t>CC:  Senate Energy and Natural Resources Committee</w:t>
      </w:r>
    </w:p>
    <w:sectPr>
      <w:type w:val="nextPage"/>
      <w:pgSz w:w="12240" w:h="15840"/>
      <w:pgMar w:left="864" w:right="864" w:gutter="0" w:header="0" w:top="2448"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2000-05-23T18:52:00Z</dcterms:created>
  <dc:creator>Chris Mele</dc:creator>
  <dc:description/>
  <dc:language>en-CA</dc:language>
  <cp:lastModifiedBy>T33770</cp:lastModifiedBy>
  <cp:lastPrinted>2000-05-23T14:03:00Z</cp:lastPrinted>
  <dcterms:modified xsi:type="dcterms:W3CDTF">2000-05-23T18:52:00Z</dcterms:modified>
  <cp:revision>2</cp:revision>
  <dc:subject/>
  <dc:title>Dear Mr</dc:title>
</cp:coreProperties>
</file>