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ind w:start="360" w:end="0"/>
        <w:rPr>
          <w:rFonts w:ascii="Tms Rmn;Times New Roman" w:hAnsi="Tms Rmn;Times New Roman" w:cs="Tms Rmn;Times New Roman"/>
          <w:sz w:val="24"/>
          <w:lang w:eastAsia="en-US"/>
        </w:rPr>
      </w:pPr>
      <w:r>
        <w:rPr>
          <w:rFonts w:cs="Tms Rmn;Times New Roman" w:ascii="Tms Rmn;Times New Roman" w:hAnsi="Tms Rmn;Times New Roman"/>
          <w:sz w:val="24"/>
          <w:lang w:eastAsia="en-US"/>
        </w:rPr>
      </w:r>
    </w:p>
    <w:p>
      <w:pPr>
        <w:pStyle w:val="Normal"/>
        <w:keepLines/>
        <w:spacing w:lineRule="atLeast" w:line="240"/>
        <w:ind w:hanging="1800" w:start="1800" w:end="0"/>
        <w:rPr>
          <w:rFonts w:ascii="Tms Rmn;Times New Roman" w:hAnsi="Tms Rmn;Times New Roman" w:cs="Tms Rmn;Times New Roman"/>
          <w:sz w:val="24"/>
          <w:lang w:eastAsia="en-US"/>
        </w:rPr>
      </w:pPr>
      <w:r>
        <w:rPr>
          <w:rFonts w:cs="Tms Rmn;Times New Roman" w:ascii="Tms Rmn;Times New Roman" w:hAnsi="Tms Rmn;Times New Roman"/>
          <w:sz w:val="24"/>
          <w:lang w:eastAsia="en-US"/>
        </w:rPr>
      </w:r>
    </w:p>
    <w:p>
      <w:pPr>
        <w:pStyle w:val="Normal"/>
        <w:spacing w:lineRule="atLeast" w:line="240"/>
        <w:ind w:start="360" w:end="0"/>
        <w:rPr>
          <w:rFonts w:ascii="Tms Rmn;Times New Roman" w:hAnsi="Tms Rmn;Times New Roman" w:cs="Tms Rmn;Times New Roman"/>
          <w:sz w:val="24"/>
          <w:lang w:eastAsia="en-US"/>
        </w:rPr>
      </w:pPr>
      <w:r>
        <w:rPr>
          <w:rFonts w:cs="Helv;Arial" w:ascii="Helv;Arial" w:hAnsi="Helv;Arial"/>
          <w:color w:val="000000"/>
          <w:sz w:val="18"/>
          <w:lang w:eastAsia="en-US"/>
        </w:rPr>
        <w:t>To:</w:t>
        <w:tab/>
        <w:t>Susan J Mara/NA/Enron@ENRON, Joe Hartsoe/Corp/Enron@ENRON, Sarah Novosel/Corp/Enron@ENRON, Donna Fulton/Corp/Enron@ENRON, James D Steffes/NA/Enron@Enron, Alan Comnes/PDX/ECT@ECT, Paul Kaufman/PDX/ECT@ECT, carrrn@bracepatt.com, Jeff Dasovich/NA/Enron@Enron</w:t>
      </w:r>
    </w:p>
    <w:p>
      <w:pPr>
        <w:pStyle w:val="Normal"/>
        <w:spacing w:lineRule="atLeast" w:line="240"/>
        <w:ind w:start="360" w:end="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t>I know we are addressing this on the state side.  I was wondering is there also a FERC angle we should prepare?  Sue and Joe: don't you think we should submit an RCR to have Ron do some research on the surrounding issues?  Here are a few that came to mind.</w:t>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t>(1) What jurisdiction does FERC have over a state-owned transmission system (especially in light of Order No. 2000 and the governance of the Cal ISO on file at FERC)?</w:t>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t>(2) Is there anything FERC can do to stop the conveyance (e.g., since the utilities would have to file a Section 203 filing for approval to convey the assets, what basis would be available to argue that conveyance was not in the public interest.)  Should Joe explore with Hebert the Commission's willingness to fight with the State about this?</w:t>
      </w:r>
    </w:p>
    <w:p>
      <w:pPr>
        <w:pStyle w:val="Normal"/>
        <w:rPr>
          <w:rFonts w:ascii="Helv;Arial" w:hAnsi="Helv;Arial" w:cs="Helv;Arial"/>
          <w:color w:val="000000"/>
          <w:lang w:eastAsia="en-US"/>
        </w:rPr>
      </w:pPr>
      <w:r>
        <w:rPr>
          <w:rFonts w:cs="Helv;Arial" w:ascii="Helv;Arial" w:hAnsi="Helv;Arial"/>
          <w:color w:val="000000"/>
          <w:lang w:eastAsia="en-US"/>
        </w:rPr>
        <w:t>(3) If the State had the utilities operate the transmission system, subject to the State's control, would that comply with Order No. 2000?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2001-02-22T14:19:00Z</dcterms:created>
  <dc:creator>mhain</dc:creator>
  <dc:description/>
  <dc:language>en-CA</dc:language>
  <cp:lastModifiedBy>mhain</cp:lastModifiedBy>
  <dcterms:modified xsi:type="dcterms:W3CDTF">2001-02-22T14:19:00Z</dcterms:modified>
  <cp:revision>2</cp:revision>
  <dc:subject/>
  <dc:title>To:</dc:title>
</cp:coreProperties>
</file>