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sz w:val="22"/>
          <w:szCs w:val="22"/>
        </w:rPr>
      </w:pPr>
      <w:r>
        <w:rPr>
          <w:sz w:val="22"/>
          <w:szCs w:val="22"/>
        </w:rPr>
        <w:t>[Letterhead of Counterparty’s Outside Legal Counsel]</w:t>
      </w:r>
    </w:p>
    <w:p>
      <w:pPr>
        <w:pStyle w:val="Normal"/>
        <w:spacing w:before="0" w:after="720"/>
        <w:jc w:val="center"/>
        <w:rPr>
          <w:sz w:val="22"/>
          <w:szCs w:val="22"/>
        </w:rPr>
      </w:pPr>
      <w:r>
        <w:rPr>
          <w:sz w:val="22"/>
          <w:szCs w:val="22"/>
        </w:rPr>
        <w:t>_______________, 1997</w:t>
      </w:r>
    </w:p>
    <w:p>
      <w:pPr>
        <w:pStyle w:val="Normal"/>
        <w:rPr>
          <w:sz w:val="22"/>
          <w:szCs w:val="22"/>
        </w:rPr>
      </w:pPr>
      <w:r>
        <w:rPr>
          <w:sz w:val="22"/>
          <w:szCs w:val="22"/>
        </w:rPr>
        <w:t>Enron Capital &amp; Trade Resources Corp.</w:t>
      </w:r>
    </w:p>
    <w:p>
      <w:pPr>
        <w:pStyle w:val="Normal"/>
        <w:rPr>
          <w:sz w:val="22"/>
          <w:szCs w:val="22"/>
        </w:rPr>
      </w:pPr>
      <w:r>
        <w:rPr>
          <w:sz w:val="22"/>
          <w:szCs w:val="22"/>
        </w:rPr>
        <w:t>1400 Smith Street</w:t>
      </w:r>
    </w:p>
    <w:p>
      <w:pPr>
        <w:pStyle w:val="Normal"/>
        <w:spacing w:before="0" w:after="240"/>
        <w:rPr>
          <w:sz w:val="22"/>
          <w:szCs w:val="22"/>
        </w:rPr>
      </w:pPr>
      <w:r>
        <w:rPr>
          <w:sz w:val="22"/>
          <w:szCs w:val="22"/>
        </w:rPr>
        <w:t>Houston, Texas  77002</w:t>
      </w:r>
    </w:p>
    <w:p>
      <w:pPr>
        <w:pStyle w:val="Normal"/>
        <w:spacing w:before="0" w:after="240"/>
        <w:ind w:hanging="720" w:start="2160" w:end="0"/>
        <w:rPr>
          <w:sz w:val="22"/>
          <w:szCs w:val="22"/>
        </w:rPr>
      </w:pPr>
      <w:r>
        <w:rPr>
          <w:sz w:val="22"/>
          <w:szCs w:val="22"/>
        </w:rPr>
        <w:t>Re:</w:t>
        <w:tab/>
        <w:t>Master Agreement between Enron Capital &amp; Trade Resources Corp. (“Enron”) and [Name of Entity] (“Counterparty”)</w:t>
      </w:r>
    </w:p>
    <w:p>
      <w:pPr>
        <w:pStyle w:val="Normal"/>
        <w:spacing w:before="0" w:after="240"/>
        <w:rPr>
          <w:sz w:val="22"/>
          <w:szCs w:val="22"/>
        </w:rPr>
      </w:pPr>
      <w:r>
        <w:rPr>
          <w:sz w:val="22"/>
          <w:szCs w:val="22"/>
        </w:rPr>
        <w:t>Ladies and Gentlemen:</w:t>
      </w:r>
    </w:p>
    <w:p>
      <w:pPr>
        <w:pStyle w:val="Normal"/>
        <w:spacing w:before="0" w:after="240"/>
        <w:ind w:firstLine="1440" w:end="0"/>
        <w:jc w:val="both"/>
        <w:rPr/>
      </w:pPr>
      <w:r>
        <w:rPr>
          <w:sz w:val="22"/>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w:t>
      </w:r>
      <w:r>
        <w:rPr>
          <w:rStyle w:val="FootnoteCharacters"/>
          <w:rStyle w:val="FootnoteReference"/>
          <w:sz w:val="22"/>
          <w:szCs w:val="22"/>
        </w:rPr>
        <w:footnoteReference w:id="2"/>
      </w:r>
      <w:r>
        <w:rPr>
          <w:sz w:val="22"/>
          <w:szCs w:val="22"/>
        </w:rPr>
        <w:t xml:space="preserve">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 w:val="22"/>
          <w:szCs w:val="22"/>
        </w:rPr>
      </w:pPr>
      <w:r>
        <w:rPr>
          <w:sz w:val="22"/>
          <w:szCs w:val="22"/>
        </w:rPr>
        <w:t>Based upon the foregoing, we are of the opinion that:</w:t>
      </w:r>
    </w:p>
    <w:p>
      <w:pPr>
        <w:pStyle w:val="Normal"/>
        <w:spacing w:before="0" w:after="240"/>
        <w:ind w:firstLine="1440" w:end="0"/>
        <w:jc w:val="both"/>
        <w:rPr>
          <w:sz w:val="22"/>
          <w:szCs w:val="22"/>
        </w:rPr>
      </w:pPr>
      <w:r>
        <w:rPr>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sz w:val="22"/>
          <w:szCs w:val="22"/>
        </w:rPr>
      </w:pPr>
      <w:r>
        <w:rPr>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 w:val="22"/>
          <w:szCs w:val="22"/>
        </w:rPr>
      </w:pPr>
      <w:r>
        <w:rPr>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 w:val="22"/>
          <w:szCs w:val="22"/>
        </w:rPr>
      </w:pPr>
      <w:r>
        <w:rPr>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sz w:val="22"/>
          <w:szCs w:val="22"/>
        </w:rPr>
      </w:pPr>
      <w:r>
        <w:rPr>
          <w:sz w:val="22"/>
          <w:szCs w:val="22"/>
        </w:rPr>
        <w:t>5.</w:t>
        <w:tab/>
        <w:t>[Assuming that they were governed by and construed in accordance with the laws of, and judicial decisions of the courts in, the Relevant Jurisdiction,]</w:t>
      </w:r>
      <w:r>
        <w:rPr>
          <w:rStyle w:val="FootnoteCharacters"/>
          <w:rStyle w:val="FootnoteReference"/>
          <w:sz w:val="22"/>
          <w:szCs w:val="22"/>
        </w:rPr>
        <w:footnoteReference w:id="3"/>
      </w:r>
      <w:r>
        <w:rPr>
          <w:sz w:val="22"/>
          <w:szCs w:val="22"/>
        </w:rPr>
        <w:t xml:space="preserve"> 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r>
        <w:rPr>
          <w:rStyle w:val="FootnoteCharacters"/>
          <w:rStyle w:val="FootnoteReference"/>
          <w:sz w:val="22"/>
          <w:szCs w:val="22"/>
        </w:rPr>
        <w:footnoteReference w:id="4"/>
      </w:r>
    </w:p>
    <w:p>
      <w:pPr>
        <w:pStyle w:val="Normal"/>
        <w:spacing w:before="0" w:after="240"/>
        <w:ind w:firstLine="1440" w:end="0"/>
        <w:jc w:val="both"/>
        <w:rPr>
          <w:sz w:val="22"/>
          <w:szCs w:val="22"/>
        </w:rPr>
      </w:pPr>
      <w:r>
        <w:rPr>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 w:val="22"/>
          <w:szCs w:val="22"/>
        </w:rPr>
      </w:pPr>
      <w:r>
        <w:rPr>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sz w:val="22"/>
          <w:szCs w:val="22"/>
        </w:rPr>
      </w:pPr>
      <w:r>
        <w:rPr>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 w:val="22"/>
          <w:szCs w:val="22"/>
        </w:rPr>
      </w:pPr>
      <w:r>
        <w:rPr>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10.</w:t>
        <w:tab/>
        <w:t>No person, firm, corporation, entity, or association other than Counterparty may liquidate, borrow, encumber, or otherwise utilize the assets [(including, without limitation, the assets identified in [</w:t>
      </w:r>
      <w:r>
        <w:rPr>
          <w:i/>
          <w:iCs/>
          <w:sz w:val="22"/>
          <w:szCs w:val="22"/>
        </w:rPr>
        <w:t>[track language regarding assets of Party B in Schedule</w:t>
      </w:r>
      <w:r>
        <w:rPr>
          <w:sz w:val="22"/>
          <w:szCs w:val="22"/>
        </w:rPr>
        <w:t>)] of Counterparty.</w:t>
      </w:r>
    </w:p>
    <w:p>
      <w:pPr>
        <w:pStyle w:val="Normal"/>
        <w:spacing w:before="0" w:after="240"/>
        <w:ind w:firstLine="1440" w:end="0"/>
        <w:jc w:val="both"/>
        <w:rPr>
          <w:sz w:val="22"/>
          <w:szCs w:val="22"/>
        </w:rPr>
      </w:pPr>
      <w:r>
        <w:rPr>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sz w:val="22"/>
          <w:szCs w:val="22"/>
        </w:rPr>
      </w:pPr>
      <w:r>
        <w:rPr>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13.</w:t>
        <w:tab/>
        <w:t xml:space="preserve">Counterparty’s obligations under the Agreement are, and until the termination of this Agreement pursuant to the terms hereof shall remain, </w:t>
      </w:r>
      <w:r>
        <w:rPr>
          <w:i/>
          <w:iCs/>
          <w:sz w:val="22"/>
          <w:szCs w:val="22"/>
        </w:rPr>
        <w:t>[track language regarding source of payments in Schedule]</w:t>
      </w:r>
      <w:r>
        <w:rPr>
          <w:sz w:val="22"/>
          <w:szCs w:val="22"/>
        </w:rPr>
        <w:t>.</w:t>
      </w:r>
    </w:p>
    <w:p>
      <w:pPr>
        <w:pStyle w:val="Normal"/>
        <w:spacing w:before="0" w:after="240"/>
        <w:ind w:firstLine="1440" w:end="0"/>
        <w:jc w:val="both"/>
        <w:rPr>
          <w:sz w:val="22"/>
          <w:szCs w:val="22"/>
        </w:rPr>
      </w:pPr>
      <w:r>
        <w:rPr>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 w:val="22"/>
          <w:szCs w:val="22"/>
        </w:rPr>
      </w:pPr>
      <w:r>
        <w:rPr>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sz w:val="22"/>
          <w:szCs w:val="22"/>
        </w:rPr>
      </w:pPr>
      <w:r>
        <w:rPr>
          <w:sz w:val="22"/>
          <w:szCs w:val="22"/>
        </w:rPr>
        <w:t>Very truly yours,</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7716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05pt;mso-position-vertical-relative:text;margin-left:227.0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/mnt/main-storage/datasets/enron-docs/doc/Munopn.doc</w:t>
    </w:r>
    <w:r>
      <w:rPr>
        <w:sz w:val="12"/>
        <w:szCs w:val="1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In the event that Counterparty is executing a Credit Support Document, particularly a Credit Support Annex, additional opinions may be required in respect of matters such as (i) the creation and attachment of a valid, first priority, perfected, security interest, and (ii) the perfection and priority of such security interest.  The form and content of these opinions will vary given the relevant documentation, collateral type(s), and governing law.</w:t>
      </w:r>
    </w:p>
  </w:footnote>
  <w:footnote w:id="3">
    <w:p>
      <w:pPr>
        <w:pStyle w:val="FootnoteText"/>
        <w:rPr/>
      </w:pPr>
      <w:r>
        <w:rPr>
          <w:rStyle w:val="FootnoteCharacters"/>
        </w:rPr>
        <w:footnoteRef/>
      </w:r>
      <w:r>
        <w:rPr/>
        <w:t xml:space="preserve"> </w:t>
      </w:r>
      <w:r>
        <w:rPr/>
        <w:tab/>
        <w:t>Use bracketed text when the law governing the Agreement is not the law of the Relevant Jurisdiction.</w:t>
      </w:r>
    </w:p>
  </w:footnote>
  <w:footnote w:id="4">
    <w:p>
      <w:pPr>
        <w:pStyle w:val="FootnoteText"/>
        <w:rPr/>
      </w:pPr>
      <w:r>
        <w:rPr>
          <w:rStyle w:val="FootnoteCharacters"/>
        </w:rPr>
        <w:footnoteRef/>
      </w:r>
      <w:r>
        <w:rPr/>
        <w:t xml:space="preserve"> </w:t>
      </w:r>
      <w:r>
        <w:rPr/>
        <w:tab/>
        <w:t>Alternatively, consider obtaining the following opinion:</w:t>
      </w:r>
    </w:p>
    <w:p>
      <w:pPr>
        <w:pStyle w:val="FootnoteText"/>
        <w:rPr/>
      </w:pPr>
      <w:r>
        <w:rPr/>
        <w:tab/>
        <w:t>“5.</w:t>
        <w:tab/>
        <w:t>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szCs w:val="22"/>
      </w:rPr>
    </w:pPr>
    <w:r>
      <w:rPr>
        <w:sz w:val="22"/>
        <w:szCs w:val="22"/>
      </w:rPr>
      <w:t>Enron Capital &amp; Trade Resources Corp.</w:t>
    </w:r>
  </w:p>
  <w:p>
    <w:pPr>
      <w:pStyle w:val="Header"/>
      <w:rPr>
        <w:sz w:val="22"/>
        <w:szCs w:val="22"/>
      </w:rPr>
    </w:pPr>
    <w:r>
      <w:rPr>
        <w:sz w:val="22"/>
        <w:szCs w:val="22"/>
      </w:rPr>
      <w:t>____________, 1997</w:t>
    </w:r>
  </w:p>
  <w:p>
    <w:pPr>
      <w:pStyle w:val="Header"/>
      <w:rPr>
        <w:rStyle w:val="PageNumber"/>
        <w:sz w:val="22"/>
        <w:szCs w:val="22"/>
      </w:rPr>
    </w:pPr>
    <w:r>
      <w:rPr>
        <w:sz w:val="22"/>
        <w:szCs w:val="22"/>
      </w:rPr>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4</w:t>
    </w:r>
    <w:r>
      <w:rPr>
        <w:rStyle w:val="PageNumber"/>
        <w:sz w:val="22"/>
        <w:szCs w:val="22"/>
      </w:rPr>
      <w:fldChar w:fldCharType="end"/>
    </w:r>
  </w:p>
  <w:p>
    <w:pPr>
      <w:pStyle w:val="Header"/>
      <w:rPr>
        <w:rStyle w:val="PageNumber"/>
        <w:sz w:val="22"/>
        <w:szCs w:val="22"/>
      </w:rPr>
    </w:pPr>
    <w:r>
      <w:rPr/>
    </w:r>
  </w:p>
  <w:p>
    <w:pPr>
      <w:pStyle w:val="Header"/>
      <w:rPr>
        <w:rStyle w:val="PageNumber"/>
        <w:sz w:val="22"/>
        <w:szCs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June 30, 1997</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CG Times" w:cs="CG Times"/>
      <w:color w:val="auto"/>
      <w:sz w:val="24"/>
      <w:szCs w:val="24"/>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bCs/>
      <w:kern w:val="2"/>
      <w:sz w:val="28"/>
      <w:szCs w:val="28"/>
    </w:rPr>
  </w:style>
  <w:style w:type="paragraph" w:styleId="Heading2">
    <w:name w:val="heading 2"/>
    <w:basedOn w:val="Normal"/>
    <w:next w:val="Normal"/>
    <w:qFormat/>
    <w:pPr>
      <w:keepNext w:val="true"/>
      <w:numPr>
        <w:ilvl w:val="1"/>
        <w:numId w:val="1"/>
      </w:numPr>
      <w:spacing w:before="240" w:after="60"/>
      <w:outlineLvl w:val="1"/>
    </w:pPr>
    <w:rPr>
      <w:b/>
      <w:bCs/>
      <w:i/>
      <w:iCs/>
    </w:rPr>
  </w:style>
  <w:style w:type="paragraph" w:styleId="Heading3">
    <w:name w:val="heading 3"/>
    <w:basedOn w:val="Normal"/>
    <w:next w:val="Normal"/>
    <w:qFormat/>
    <w:pPr>
      <w:keepNext w:val="true"/>
      <w:numPr>
        <w:ilvl w:val="2"/>
        <w:numId w:val="1"/>
      </w:numPr>
      <w:spacing w:before="240" w:after="60"/>
      <w:outlineLvl w:val="2"/>
    </w:pPr>
    <w:rPr>
      <w:b/>
      <w:bCs/>
    </w:rPr>
  </w:style>
  <w:style w:type="paragraph" w:styleId="Heading4">
    <w:name w:val="heading 4"/>
    <w:basedOn w:val="Normal"/>
    <w:next w:val="Normal"/>
    <w:qFormat/>
    <w:pPr>
      <w:keepNext w:val="true"/>
      <w:numPr>
        <w:ilvl w:val="3"/>
        <w:numId w:val="1"/>
      </w:numPr>
      <w:spacing w:before="240" w:after="60"/>
      <w:outlineLvl w:val="3"/>
    </w:pPr>
    <w:rPr>
      <w:b/>
      <w:bCs/>
      <w:i/>
      <w:iCs/>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i/>
      <w:iCs/>
    </w:rPr>
  </w:style>
  <w:style w:type="paragraph" w:styleId="Heading7">
    <w:name w:val="heading 7"/>
    <w:basedOn w:val="Normal"/>
    <w:next w:val="Normal"/>
    <w:qFormat/>
    <w:pPr>
      <w:numPr>
        <w:ilvl w:val="6"/>
        <w:numId w:val="1"/>
      </w:numPr>
      <w:spacing w:before="240" w:after="60"/>
      <w:outlineLvl w:val="6"/>
    </w:pPr>
    <w:rPr>
      <w:sz w:val="20"/>
      <w:szCs w:val="20"/>
    </w:rPr>
  </w:style>
  <w:style w:type="paragraph" w:styleId="Heading8">
    <w:name w:val="heading 8"/>
    <w:basedOn w:val="Normal"/>
    <w:next w:val="Normal"/>
    <w:qFormat/>
    <w:pPr>
      <w:numPr>
        <w:ilvl w:val="7"/>
        <w:numId w:val="1"/>
      </w:numPr>
      <w:spacing w:before="240" w:after="60"/>
      <w:outlineLvl w:val="7"/>
    </w:pPr>
    <w:rPr>
      <w:i/>
      <w:iCs/>
      <w:sz w:val="20"/>
      <w:szCs w:val="20"/>
    </w:rPr>
  </w:style>
  <w:style w:type="paragraph" w:styleId="Heading9">
    <w:name w:val="heading 9"/>
    <w:basedOn w:val="Normal"/>
    <w:next w:val="Normal"/>
    <w:qFormat/>
    <w:pPr>
      <w:numPr>
        <w:ilvl w:val="8"/>
        <w:numId w:val="1"/>
      </w:numPr>
      <w:spacing w:before="240" w:after="60"/>
      <w:outlineLvl w:val="8"/>
    </w:pPr>
    <w:rPr>
      <w:i/>
      <w:iCs/>
      <w:sz w:val="18"/>
      <w:szCs w:val="18"/>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PASSParawIndent">
    <w:name w:val="PA S/S Para w/Indent"/>
    <w:basedOn w:val="Normal"/>
    <w:qFormat/>
    <w:pPr>
      <w:spacing w:before="240" w:after="0"/>
      <w:ind w:firstLine="1440" w:start="0" w:end="0"/>
      <w:jc w:val="both"/>
    </w:pPr>
    <w:rPr/>
  </w:style>
  <w:style w:type="paragraph" w:styleId="PBSSParaNoIndnt">
    <w:name w:val="PB S/S Para No Indnt"/>
    <w:basedOn w:val="Normal"/>
    <w:qFormat/>
    <w:pPr>
      <w:spacing w:lineRule="exact" w:line="480"/>
      <w:jc w:val="both"/>
    </w:pPr>
    <w:rPr/>
  </w:style>
  <w:style w:type="paragraph" w:styleId="PCDSwIndent">
    <w:name w:val="PC D/S w/Indent"/>
    <w:basedOn w:val="Normal"/>
    <w:qFormat/>
    <w:pPr>
      <w:spacing w:lineRule="exact" w:line="480"/>
      <w:jc w:val="both"/>
    </w:pPr>
    <w:rPr/>
  </w:style>
  <w:style w:type="paragraph" w:styleId="PDDSNoIndent">
    <w:name w:val="PD D/S No Indent"/>
    <w:basedOn w:val="Normal"/>
    <w:qFormat/>
    <w:pPr>
      <w:spacing w:lineRule="exact" w:line="480"/>
      <w:jc w:val="both"/>
    </w:pPr>
    <w:rPr/>
  </w:style>
  <w:style w:type="paragraph" w:styleId="BABlockIndent">
    <w:name w:val="BA Block Indent"/>
    <w:basedOn w:val="Normal"/>
    <w:qFormat/>
    <w:pPr>
      <w:spacing w:before="240" w:after="0"/>
      <w:ind w:hanging="0" w:start="1440" w:end="1440"/>
      <w:jc w:val="both"/>
    </w:pPr>
    <w:rPr/>
  </w:style>
  <w:style w:type="paragraph" w:styleId="Body">
    <w:name w:val="Body"/>
    <w:basedOn w:val="Normal"/>
    <w:qFormat/>
    <w:pPr>
      <w:spacing w:before="240" w:after="0"/>
      <w:ind w:firstLine="1440" w:start="0" w:end="0"/>
    </w:pPr>
    <w:rPr/>
  </w:style>
  <w:style w:type="paragraph" w:styleId="BodyFlush">
    <w:name w:val="Body Flush"/>
    <w:basedOn w:val="Normal"/>
    <w:qFormat/>
    <w:pPr>
      <w:spacing w:before="240" w:after="0"/>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1997-07-11T16:16:00Z</dcterms:created>
  <dc:creator>ECT</dc:creator>
  <dc:description/>
  <dc:language>en-CA</dc:language>
  <cp:lastModifiedBy>sshackl</cp:lastModifiedBy>
  <cp:lastPrinted>1997-12-05T11:07:00Z</cp:lastPrinted>
  <dcterms:modified xsi:type="dcterms:W3CDTF">1999-07-06T12:04:00Z</dcterms:modified>
  <cp:revision>1</cp:revision>
  <dc:subject/>
  <dc:title>Form Opinion Letter - Enron Capital 6/27/97</dc:title>
</cp:coreProperties>
</file>