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720"/>
        <w:jc w:val="center"/>
        <w:rPr>
          <w:b/>
          <w:sz w:val="22"/>
        </w:rPr>
      </w:pPr>
      <w:r>
        <w:rPr>
          <w:b/>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2001 is made and entered into by _____________________, a (state)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BodyTextIndent"/>
        <w:tabs>
          <w:tab w:val="clear" w:pos="6480"/>
        </w:tabs>
        <w:rPr/>
      </w:pPr>
      <w:r>
        <w:rPr/>
        <w:t>WHEREAS, ______________ a ___________________ and an affiliate of Guarantor (“Counterparty”) and Enron Clean Fuels Company, a division of Enron Gas Liquids, Inc. (“Enron Party”), have entered into and/or will enter into one or more petroleum product transactions (the “Physical Transactions”), which Physical Transactions will be evidenced by one or more purchase and sale agreements, confirmations and/or master agreements, as the same may from time to time be modified, amended and supplemented (all such Physical Transactions and the agreements evidencing the same, whether entered into prior to, on or after the date hereof, as the same may be modified, amended and supplemented, shall be herein referred to collectively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Party under the Contracts, and (b) to the extent that Counterparty shall fail to pay any Obligations to the Enron Party, Guarantor shall promptly pay to such Enron 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pPr>
      <w:r>
        <w:rPr>
          <w:sz w:val="22"/>
        </w:rPr>
        <w:t>(b)  The aggregate amount covered by this Guaranty shall not exceed $_</w:t>
      </w:r>
      <w:r>
        <w:rPr>
          <w:sz w:val="22"/>
          <w:u w:val="single"/>
        </w:rPr>
        <w:t>_______________</w:t>
      </w:r>
      <w:r>
        <w:rPr>
          <w:sz w:val="22"/>
        </w:rPr>
        <w:t xml:space="preserve">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the Enron Party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Party in excess of the Guarantee Cap, Guarantor’s total payment up to but not exceeding $___________ shall be allocated among the Contracts to which the Enron Party is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corporation duly organized and validly existing under the laws of the State of </w:t>
      </w:r>
      <w:r>
        <w:rPr>
          <w:sz w:val="22"/>
          <w:u w:val="single"/>
        </w:rPr>
        <w:t>__________</w:t>
      </w:r>
      <w:r>
        <w:rPr>
          <w:sz w:val="22"/>
        </w:rPr>
        <w:t xml:space="preserve">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writing signed by Guarantor and the Enron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 above set forth; and (c) any right to require that any action or proceeding be brought against Counterparty or any other person, or except as expressly herein above set forth, to require that the Enron Party seeks enforcement of any performance against Counterparty or any other person, prior to any action against Guarantor under the terms hereof.  Except as to applicable statutes of limitation, no delay of the Enron 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Party and upon the effectiveness of such termination, Guarantor shall have no further liability hereunder, except as provided in the last sentence of this paragraph.  No such termination shall be effective until five (5) business days after receipt by the Enron Party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sz w:val="22"/>
              </w:rPr>
              <w:t>To the Enron Parties:</w:t>
            </w:r>
          </w:p>
        </w:tc>
        <w:tc>
          <w:tcPr>
            <w:tcW w:w="4302" w:type="dxa"/>
            <w:tcBorders/>
          </w:tcPr>
          <w:p>
            <w:pPr>
              <w:pStyle w:val="Normal"/>
              <w:keepNext w:val="true"/>
              <w:keepLines/>
              <w:spacing w:lineRule="atLeast" w:line="240"/>
              <w:rPr>
                <w:sz w:val="22"/>
              </w:rPr>
            </w:pPr>
            <w:r>
              <w:rPr>
                <w:sz w:val="22"/>
              </w:rPr>
              <w:t>Enron Clean Fuels Company, a division of Enron Gas Liquids, Inc.</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tbl>
      <w:tblPr>
        <w:tblW w:w="5400" w:type="dxa"/>
        <w:jc w:val="start"/>
        <w:tblInd w:w="0" w:type="dxa"/>
        <w:tblLayout w:type="fixed"/>
        <w:tblCellMar>
          <w:top w:w="0" w:type="dxa"/>
          <w:start w:w="108" w:type="dxa"/>
          <w:bottom w:w="0" w:type="dxa"/>
          <w:end w:w="108" w:type="dxa"/>
        </w:tblCellMar>
      </w:tblPr>
      <w:tblGrid>
        <w:gridCol w:w="1098"/>
        <w:gridCol w:w="4302"/>
      </w:tblGrid>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napToGrid w:val="false"/>
              <w:spacing w:lineRule="atLeast" w:line="240"/>
              <w:rPr>
                <w:sz w:val="22"/>
              </w:rPr>
            </w:pPr>
            <w:r>
              <w:rPr>
                <w:sz w:val="22"/>
              </w:rPr>
            </w:r>
          </w:p>
        </w:tc>
      </w:tr>
    </w:tbl>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the Enron Party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Party and its respective successors and assigns.  The Guaranty embodies the entire agreement and understanding between Guarantor and the Enron 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2000-11-06T18:41:00Z</dcterms:created>
  <dc:creator>tjones</dc:creator>
  <dc:description/>
  <dc:language>en-CA</dc:language>
  <cp:lastModifiedBy>Nidia A. Mendoza</cp:lastModifiedBy>
  <cp:lastPrinted>2001-08-06T16:44:00Z</cp:lastPrinted>
  <dcterms:modified xsi:type="dcterms:W3CDTF">2001-08-10T15:13:00Z</dcterms:modified>
  <cp:revision>8</cp:revision>
  <dc:subject/>
  <dc:title>EXHIBIT A</dc:title>
</cp:coreProperties>
</file>