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120"/>
        <w:ind w:hanging="0" w:start="0"/>
        <w:jc w:val="center"/>
        <w:rPr>
          <w:rFonts w:ascii="Arial" w:hAnsi="Arial" w:eastAsia="Arial" w:cs="Arial"/>
          <w:color w:val="008080"/>
          <w:sz w:val="28"/>
          <w:szCs w:val="28"/>
        </w:rPr>
      </w:pPr>
      <w:r>
        <w:rPr>
          <w:rFonts w:eastAsia="Arial" w:cs="Arial" w:ascii="Arial" w:hAnsi="Arial"/>
          <w:color w:val="008080"/>
          <w:sz w:val="28"/>
          <w:szCs w:val="28"/>
        </w:rPr>
        <w:t>MEETING SUMMARY</w:t>
      </w:r>
    </w:p>
    <w:p>
      <w:pPr>
        <w:pStyle w:val="BodyText"/>
        <w:rPr>
          <w:rFonts w:ascii="Times New Roman" w:hAnsi="Times New Roman" w:eastAsia="Times New Roman" w:cs="Times New Roman"/>
          <w:color w:val="008080"/>
          <w:sz w:val="22"/>
          <w:szCs w:val="22"/>
        </w:rPr>
      </w:pPr>
      <w:r>
        <w:rPr>
          <w:rFonts w:eastAsia="Times New Roman" w:cs="Times New Roman" w:ascii="Times New Roman" w:hAnsi="Times New Roman"/>
          <w:color w:val="008080"/>
          <w:sz w:val="22"/>
          <w:szCs w:val="22"/>
        </w:rPr>
        <w:t xml:space="preserve">March 17, 2000  </w:t>
      </w:r>
    </w:p>
    <w:p>
      <w:pPr>
        <w:pStyle w:val="BodyText"/>
        <w:rPr>
          <w:rFonts w:ascii="Times New Roman" w:hAnsi="Times New Roman" w:eastAsia="Times New Roman" w:cs="Times New Roman"/>
          <w:b w:val="false"/>
          <w:bCs w:val="false"/>
          <w:sz w:val="22"/>
          <w:szCs w:val="22"/>
        </w:rPr>
      </w:pPr>
      <w:r>
        <w:rPr>
          <w:rFonts w:eastAsia="Times New Roman" w:cs="Times New Roman" w:ascii="Times New Roman" w:hAnsi="Times New Roman"/>
          <w:b w:val="false"/>
          <w:bCs w:val="false"/>
          <w:sz w:val="22"/>
          <w:szCs w:val="22"/>
        </w:rPr>
        <w:t>11:00 a.m.</w:t>
      </w:r>
    </w:p>
    <w:p>
      <w:pPr>
        <w:pStyle w:val="Heading2"/>
        <w:ind w:hanging="0" w:start="0"/>
        <w:jc w:val="center"/>
        <w:rPr>
          <w:rFonts w:ascii="Times New Roman" w:hAnsi="Times New Roman" w:eastAsia="Times New Roman" w:cs="Times New Roman"/>
          <w:b w:val="false"/>
          <w:bCs w:val="false"/>
        </w:rPr>
      </w:pPr>
      <w:r>
        <w:rPr>
          <w:rFonts w:eastAsia="Times New Roman" w:cs="Times New Roman" w:ascii="Times New Roman" w:hAnsi="Times New Roman"/>
          <w:b w:val="false"/>
          <w:bCs w:val="false"/>
        </w:rPr>
        <w:t xml:space="preserve">77 Beale Street, San Francisco </w:t>
      </w:r>
    </w:p>
    <w:p>
      <w:pPr>
        <w:pStyle w:val="BodyText"/>
        <w:spacing w:before="0" w:after="20"/>
        <w:rPr>
          <w:rFonts w:ascii="Times New Roman" w:hAnsi="Times New Roman" w:eastAsia="Times New Roman" w:cs="Times New Roman"/>
          <w:b w:val="false"/>
          <w:bCs w:val="false"/>
        </w:rPr>
      </w:pPr>
      <w:r>
        <w:rPr>
          <w:rFonts w:eastAsia="Times New Roman" w:cs="Times New Roman" w:ascii="Times New Roman" w:hAnsi="Times New Roman"/>
          <w:b w:val="false"/>
          <w:bCs w:val="false"/>
        </w:rPr>
      </w:r>
    </w:p>
    <w:p>
      <w:pPr>
        <w:pStyle w:val="Heading3"/>
        <w:ind w:hanging="0" w:start="0"/>
        <w:rPr>
          <w:rFonts w:ascii="Arial" w:hAnsi="Arial" w:eastAsia="Arial" w:cs="Arial"/>
          <w:sz w:val="24"/>
          <w:szCs w:val="24"/>
          <w:u w:val="single"/>
        </w:rPr>
      </w:pPr>
      <w:r>
        <w:rPr>
          <w:rFonts w:eastAsia="Arial" w:cs="Arial" w:ascii="Arial" w:hAnsi="Arial"/>
          <w:sz w:val="24"/>
          <w:szCs w:val="24"/>
          <w:u w:val="single"/>
        </w:rPr>
        <w:t>ATTENDEES</w:t>
      </w:r>
    </w:p>
    <w:p>
      <w:pPr>
        <w:pStyle w:val="Normal"/>
        <w:rPr>
          <w:rFonts w:ascii="Arial" w:hAnsi="Arial" w:eastAsia="Arial" w:cs="Arial"/>
          <w:sz w:val="24"/>
          <w:szCs w:val="24"/>
          <w:u w:val="single"/>
        </w:rPr>
      </w:pPr>
      <w:r>
        <w:rPr>
          <w:rFonts w:eastAsia="Arial" w:cs="Arial" w:ascii="Arial" w:hAnsi="Arial"/>
          <w:sz w:val="24"/>
          <w:szCs w:val="24"/>
          <w:u w:val="single"/>
        </w:rPr>
      </w:r>
    </w:p>
    <w:tbl>
      <w:tblPr>
        <w:tblW w:w="8640" w:type="dxa"/>
        <w:jc w:val="start"/>
        <w:tblInd w:w="1008" w:type="dxa"/>
        <w:tblLayout w:type="fixed"/>
        <w:tblCellMar>
          <w:top w:w="0" w:type="dxa"/>
          <w:start w:w="108" w:type="dxa"/>
          <w:bottom w:w="0" w:type="dxa"/>
          <w:end w:w="108" w:type="dxa"/>
        </w:tblCellMar>
      </w:tblPr>
      <w:tblGrid>
        <w:gridCol w:w="5040"/>
        <w:gridCol w:w="3600"/>
      </w:tblGrid>
      <w:tr>
        <w:trPr>
          <w:trHeight w:val="320" w:hRule="exact"/>
        </w:trPr>
        <w:tc>
          <w:tcPr>
            <w:tcW w:w="504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Caterpillar Gas Engines</w:t>
            </w:r>
          </w:p>
        </w:tc>
        <w:tc>
          <w:tcPr>
            <w:tcW w:w="360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Eric Wong</w:t>
            </w:r>
          </w:p>
        </w:tc>
      </w:tr>
      <w:tr>
        <w:trPr>
          <w:trHeight w:val="320" w:hRule="exact"/>
        </w:trPr>
        <w:tc>
          <w:tcPr>
            <w:tcW w:w="504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California Manufacturers’ Association</w:t>
            </w:r>
          </w:p>
        </w:tc>
        <w:tc>
          <w:tcPr>
            <w:tcW w:w="360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Dorothy Rothrock</w:t>
            </w:r>
          </w:p>
        </w:tc>
      </w:tr>
      <w:tr>
        <w:trPr>
          <w:trHeight w:val="320" w:hRule="exact"/>
        </w:trPr>
        <w:tc>
          <w:tcPr>
            <w:tcW w:w="504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Distributed Power Coalition of America</w:t>
            </w:r>
          </w:p>
        </w:tc>
        <w:tc>
          <w:tcPr>
            <w:tcW w:w="360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John Nimmons</w:t>
            </w:r>
          </w:p>
        </w:tc>
      </w:tr>
      <w:tr>
        <w:trPr>
          <w:trHeight w:val="320" w:hRule="exact"/>
        </w:trPr>
        <w:tc>
          <w:tcPr>
            <w:tcW w:w="504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ENRON</w:t>
            </w:r>
          </w:p>
        </w:tc>
        <w:tc>
          <w:tcPr>
            <w:tcW w:w="360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Bruno Gaillard</w:t>
            </w:r>
          </w:p>
        </w:tc>
      </w:tr>
      <w:tr>
        <w:trPr>
          <w:trHeight w:val="1404" w:hRule="exact"/>
        </w:trPr>
        <w:tc>
          <w:tcPr>
            <w:tcW w:w="504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Pacific Gas &amp; Electric</w:t>
            </w:r>
          </w:p>
        </w:tc>
        <w:tc>
          <w:tcPr>
            <w:tcW w:w="360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Kathy Treleven</w:t>
            </w:r>
          </w:p>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Peter Ouborg</w:t>
            </w:r>
          </w:p>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Randy Litteneker</w:t>
            </w:r>
          </w:p>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Alyson Juey</w:t>
            </w:r>
          </w:p>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Tom Bialek</w:t>
            </w:r>
          </w:p>
        </w:tc>
      </w:tr>
      <w:tr>
        <w:trPr>
          <w:trHeight w:val="320" w:hRule="exact"/>
        </w:trPr>
        <w:tc>
          <w:tcPr>
            <w:tcW w:w="504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San Diego Gas &amp; Electric</w:t>
            </w:r>
          </w:p>
        </w:tc>
        <w:tc>
          <w:tcPr>
            <w:tcW w:w="360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David Geier</w:t>
            </w:r>
          </w:p>
        </w:tc>
      </w:tr>
      <w:tr>
        <w:trPr>
          <w:trHeight w:val="585" w:hRule="exact"/>
        </w:trPr>
        <w:tc>
          <w:tcPr>
            <w:tcW w:w="504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Sempra Energy </w:t>
            </w:r>
          </w:p>
        </w:tc>
        <w:tc>
          <w:tcPr>
            <w:tcW w:w="360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Joe Kloberdanz</w:t>
            </w:r>
          </w:p>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Steve Nelson (by phone)</w:t>
            </w:r>
          </w:p>
        </w:tc>
      </w:tr>
      <w:tr>
        <w:trPr>
          <w:trHeight w:val="320" w:hRule="exact"/>
        </w:trPr>
        <w:tc>
          <w:tcPr>
            <w:tcW w:w="504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Southern California Edison</w:t>
            </w:r>
          </w:p>
        </w:tc>
        <w:tc>
          <w:tcPr>
            <w:tcW w:w="360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Manuel Alvarez, Randy Smith</w:t>
            </w:r>
          </w:p>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rHeight w:val="320" w:hRule="exact"/>
        </w:trPr>
        <w:tc>
          <w:tcPr>
            <w:tcW w:w="504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Southern California Gas</w:t>
            </w:r>
          </w:p>
        </w:tc>
        <w:tc>
          <w:tcPr>
            <w:tcW w:w="3600" w:type="dxa"/>
            <w:tcBorders/>
          </w:tcPr>
          <w:p>
            <w:pPr>
              <w:pStyle w:val="Normal"/>
              <w:tabs>
                <w:tab w:val="clear" w:pos="720"/>
                <w:tab w:val="left" w:pos="2880" w:leader="none"/>
                <w:tab w:val="left" w:pos="6120" w:leader="none"/>
              </w:tabs>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Rod Hite</w:t>
            </w:r>
          </w:p>
        </w:tc>
      </w:tr>
    </w:tbl>
    <w:p>
      <w:pPr>
        <w:pStyle w:val="Caption"/>
        <w:rPr/>
      </w:pPr>
      <w:r>
        <w:rPr/>
      </w:r>
    </w:p>
    <w:p>
      <w:pPr>
        <w:pStyle w:val="Caption"/>
        <w:rPr>
          <w:rFonts w:ascii="Arial" w:hAnsi="Arial" w:eastAsia="Arial" w:cs="Arial"/>
        </w:rPr>
      </w:pPr>
      <w:r>
        <w:rPr>
          <w:rFonts w:eastAsia="Arial" w:cs="Arial" w:ascii="Arial" w:hAnsi="Arial"/>
        </w:rPr>
        <w:t>SUMMARY</w:t>
      </w:r>
    </w:p>
    <w:p>
      <w:pPr>
        <w:pStyle w:val="Normal"/>
        <w:spacing w:lineRule="exact" w:line="180"/>
        <w:jc w:val="center"/>
        <w:rPr>
          <w:rFonts w:ascii="Arial" w:hAnsi="Arial" w:eastAsia="Arial" w:cs="Arial"/>
          <w:b/>
          <w:bCs/>
          <w:u w:val="single"/>
        </w:rPr>
      </w:pPr>
      <w:r>
        <w:rPr>
          <w:rFonts w:eastAsia="Arial" w:cs="Arial" w:ascii="Arial" w:hAnsi="Arial"/>
          <w:b/>
          <w:bCs/>
          <w:u w:val="single"/>
        </w:rPr>
      </w:r>
    </w:p>
    <w:p>
      <w:pPr>
        <w:pStyle w:val="Normal"/>
        <w:spacing w:before="0" w:after="120"/>
        <w:rPr/>
      </w:pPr>
      <w:r>
        <w:rPr>
          <w:rFonts w:eastAsia="Times New Roman" w:cs="Times New Roman" w:ascii="Times New Roman" w:hAnsi="Times New Roman"/>
          <w:b/>
          <w:bCs/>
          <w:sz w:val="22"/>
          <w:szCs w:val="22"/>
          <w:u w:val="single"/>
        </w:rPr>
        <w:t>Purposes:</w:t>
      </w:r>
      <w:r>
        <w:rPr>
          <w:rFonts w:eastAsia="Times New Roman" w:cs="Times New Roman" w:ascii="Times New Roman" w:hAnsi="Times New Roman"/>
          <w:sz w:val="22"/>
          <w:szCs w:val="22"/>
        </w:rPr>
        <w:t xml:space="preserve"> The meeting purposes were:</w:t>
      </w:r>
    </w:p>
    <w:p>
      <w:pPr>
        <w:pStyle w:val="Normal"/>
        <w:numPr>
          <w:ilvl w:val="0"/>
          <w:numId w:val="2"/>
        </w:numPr>
        <w:tabs>
          <w:tab w:val="clear" w:pos="720"/>
          <w:tab w:val="left" w:pos="0" w:leader="none"/>
          <w:tab w:val="left" w:pos="360" w:leader="none"/>
        </w:tabs>
        <w:spacing w:before="0" w:after="120"/>
        <w:ind w:hanging="720" w:start="1080" w:end="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to explore whether the organizations represented at the meeting, and possibly others, </w:t>
        <w:br/>
        <w:t xml:space="preserve">could productively collaborate to find common ground on distributed generation issues </w:t>
        <w:br/>
        <w:t>pending in OIR 99-10-025, and its companion proceeding at the CEC, 99-DIST-GEN(2);</w:t>
      </w:r>
    </w:p>
    <w:p>
      <w:pPr>
        <w:pStyle w:val="Normal"/>
        <w:numPr>
          <w:ilvl w:val="0"/>
          <w:numId w:val="2"/>
        </w:numPr>
        <w:tabs>
          <w:tab w:val="clear" w:pos="720"/>
          <w:tab w:val="left" w:pos="0" w:leader="none"/>
          <w:tab w:val="left" w:pos="360" w:leader="none"/>
        </w:tabs>
        <w:spacing w:before="0" w:after="120"/>
        <w:ind w:hanging="720" w:start="1080" w:end="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to discuss ground rules for such an effort; and </w:t>
      </w:r>
    </w:p>
    <w:p>
      <w:pPr>
        <w:pStyle w:val="Normal"/>
        <w:numPr>
          <w:ilvl w:val="0"/>
          <w:numId w:val="2"/>
        </w:numPr>
        <w:tabs>
          <w:tab w:val="clear" w:pos="720"/>
          <w:tab w:val="left" w:pos="0" w:leader="none"/>
          <w:tab w:val="left" w:pos="360" w:leader="none"/>
        </w:tabs>
        <w:ind w:hanging="720" w:start="1080" w:end="0"/>
        <w:rPr>
          <w:rFonts w:ascii="Times New Roman" w:hAnsi="Times New Roman" w:eastAsia="Times New Roman" w:cs="Times New Roman"/>
          <w:sz w:val="22"/>
          <w:szCs w:val="22"/>
        </w:rPr>
      </w:pPr>
      <w:r>
        <w:rPr>
          <w:rFonts w:eastAsia="Times New Roman" w:cs="Times New Roman" w:ascii="Times New Roman" w:hAnsi="Times New Roman"/>
          <w:sz w:val="22"/>
          <w:szCs w:val="22"/>
        </w:rPr>
        <w:t>to identify which of the pending issues might be constructively addressed by the group.</w:t>
      </w:r>
    </w:p>
    <w:p>
      <w:pPr>
        <w:pStyle w:val="Normal"/>
        <w:rPr>
          <w:sz w:val="22"/>
          <w:szCs w:val="22"/>
        </w:rPr>
      </w:pPr>
      <w:r>
        <w:rPr>
          <w:sz w:val="22"/>
          <w:szCs w:val="22"/>
        </w:rPr>
      </w:r>
    </w:p>
    <w:p>
      <w:pPr>
        <w:pStyle w:val="Normal"/>
        <w:rPr>
          <w:sz w:val="22"/>
          <w:szCs w:val="22"/>
        </w:rPr>
      </w:pPr>
      <w:r>
        <w:rPr>
          <w:rFonts w:eastAsia="Times New Roman" w:cs="Times New Roman" w:ascii="Times New Roman" w:hAnsi="Times New Roman"/>
          <w:b/>
          <w:bCs/>
          <w:sz w:val="22"/>
          <w:szCs w:val="22"/>
          <w:u w:val="single"/>
        </w:rPr>
        <w:t>Outcomes:</w:t>
      </w:r>
    </w:p>
    <w:p>
      <w:pPr>
        <w:pStyle w:val="Normal"/>
        <w:rPr>
          <w:sz w:val="22"/>
          <w:szCs w:val="22"/>
        </w:rPr>
      </w:pPr>
      <w:r>
        <w:rPr>
          <w:sz w:val="22"/>
          <w:szCs w:val="22"/>
        </w:rPr>
      </w:r>
    </w:p>
    <w:p>
      <w:pPr>
        <w:pStyle w:val="Normal"/>
        <w:rPr/>
      </w:pPr>
      <w:r>
        <w:rPr>
          <w:rFonts w:eastAsia="Times New Roman" w:cs="Times New Roman" w:ascii="Times New Roman" w:hAnsi="Times New Roman"/>
          <w:b/>
          <w:bCs/>
          <w:sz w:val="22"/>
          <w:szCs w:val="22"/>
        </w:rPr>
        <w:t xml:space="preserve">Willingness to proceed. </w:t>
      </w:r>
      <w:r>
        <w:rPr>
          <w:rFonts w:eastAsia="Times New Roman" w:cs="Times New Roman" w:ascii="Times New Roman" w:hAnsi="Times New Roman"/>
          <w:sz w:val="22"/>
          <w:szCs w:val="22"/>
        </w:rPr>
        <w:t xml:space="preserve">The participants agreed that a successful collaboration through a ‘win-win’ approach can benefit all stakeholders, by fostering better understanding of each others’ viewpoints, narrowing the issues, and reducing OIR/OII workloads. It was acknowledged that the OIR/OII issues are complex, and that a cooperative effort to resolve them, or at least narrow areas of disagreement, could be a useful complement to the more adversarial approach of formal CPUC proceedings. It was also proposed that the group consider a request to temporarily suspend the formal proceedings at some point, perhaps in the May 10 prehearing scheduling conference, if agreement on some key issues appeared likely. </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sz w:val="22"/>
          <w:szCs w:val="22"/>
        </w:rPr>
      </w:pPr>
      <w:r>
        <w:rPr>
          <w:rFonts w:eastAsia="Times New Roman" w:cs="Times New Roman" w:ascii="Times New Roman" w:hAnsi="Times New Roman"/>
          <w:b/>
          <w:bCs/>
          <w:sz w:val="22"/>
          <w:szCs w:val="22"/>
        </w:rPr>
        <w:t>Ground rules.</w:t>
      </w:r>
      <w:r>
        <w:rPr>
          <w:rFonts w:eastAsia="Times New Roman" w:cs="Times New Roman" w:ascii="Times New Roman" w:hAnsi="Times New Roman"/>
          <w:sz w:val="22"/>
          <w:szCs w:val="22"/>
        </w:rPr>
        <w:t xml:space="preserve"> Discussion proceeded to the ground rules that should govern any such collaboration. The first question was who might participate. There was general agreement that the effort would be more manageable and productive if limited initially to a relatively small group of entities and individuals, preferably close to 10 or 12, but if need be, perhaps as many as 20 when necessary. The suggestion was made to proceed in several phases: as progress occurs on some issues, others with a stake in those issues could be brought into the discussions. The participants generally agreed on that approach. They also agreed that the intent was not to exclude other parties, but only to ensure that the group remained small enough to engage in  open and productive discussions of complex issues that might sometimes be sensitive.</w:t>
        <w:tab/>
        <w:tab/>
        <w:tab/>
        <w:tab/>
        <w:tab/>
        <w:tab/>
        <w:tab/>
        <w:tab/>
        <w:tab/>
        <w:tab/>
      </w: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 ARABIC </w:instrText>
      </w:r>
      <w:r>
        <w:rPr>
          <w:sz w:val="20"/>
          <w:szCs w:val="20"/>
        </w:rPr>
        <w:fldChar w:fldCharType="separate"/>
      </w:r>
      <w:r>
        <w:rPr>
          <w:sz w:val="20"/>
          <w:szCs w:val="20"/>
        </w:rPr>
        <w:t>2</w:t>
      </w:r>
      <w:r>
        <w:rPr>
          <w:sz w:val="20"/>
          <w:szCs w:val="20"/>
        </w:rPr>
        <w:fldChar w:fldCharType="end"/>
      </w:r>
    </w:p>
    <w:p>
      <w:pPr>
        <w:pStyle w:val="BodyText2"/>
        <w:numPr>
          <w:ilvl w:val="0"/>
          <w:numId w:val="3"/>
        </w:numPr>
        <w:tabs>
          <w:tab w:val="clear" w:pos="72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It was then suggested that the CPUC’s Rule 51 would be a good model to adopt for procedural ground rules, whether or not the Rule specifically covers these discussions. Two principles in particular were cited as important, and were agreed on by those present:</w:t>
      </w:r>
    </w:p>
    <w:p>
      <w:pPr>
        <w:pStyle w:val="Normal"/>
        <w:numPr>
          <w:ilvl w:val="0"/>
          <w:numId w:val="4"/>
        </w:numPr>
        <w:tabs>
          <w:tab w:val="left" w:pos="0" w:leader="none"/>
          <w:tab w:val="left" w:pos="720" w:leader="none"/>
        </w:tabs>
        <w:spacing w:before="0" w:after="120"/>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What is said in the course of collaborative discussions will not be introduced </w:t>
        <w:br/>
        <w:t xml:space="preserve">as evidence in any CPUC, CEC or other formal proceeding; and </w:t>
      </w:r>
    </w:p>
    <w:p>
      <w:pPr>
        <w:pStyle w:val="Normal"/>
        <w:numPr>
          <w:ilvl w:val="0"/>
          <w:numId w:val="4"/>
        </w:numPr>
        <w:tabs>
          <w:tab w:val="left" w:pos="0" w:leader="none"/>
          <w:tab w:val="left" w:pos="720" w:leader="none"/>
        </w:tabs>
        <w:ind w:hanging="720" w:start="1440" w:end="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Such communications will be treated as confidential within the group and by </w:t>
        <w:br/>
        <w:t>the principals represented, and will not be disclosed to the press or the public.</w:t>
      </w:r>
    </w:p>
    <w:p>
      <w:pPr>
        <w:pStyle w:val="Normal"/>
        <w:ind w:start="360" w:end="0"/>
        <w:rPr>
          <w:sz w:val="22"/>
          <w:szCs w:val="22"/>
        </w:rPr>
      </w:pPr>
      <w:r>
        <w:rPr>
          <w:sz w:val="22"/>
          <w:szCs w:val="22"/>
        </w:rPr>
      </w:r>
    </w:p>
    <w:p>
      <w:pPr>
        <w:pStyle w:val="Normal"/>
        <w:numPr>
          <w:ilvl w:val="0"/>
          <w:numId w:val="5"/>
        </w:numPr>
        <w:tabs>
          <w:tab w:val="clear" w:pos="720"/>
          <w:tab w:val="left" w:pos="0" w:leader="none"/>
        </w:tabs>
        <w:ind w:hanging="720" w:start="720" w:end="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The participants also acknowledged that any proposals or agreements reached in the course of the group’s deliberations would be subject to good faith approval by their principals. </w:t>
      </w:r>
    </w:p>
    <w:p>
      <w:pPr>
        <w:pStyle w:val="Normal"/>
        <w:rPr>
          <w:sz w:val="22"/>
          <w:szCs w:val="22"/>
        </w:rPr>
      </w:pPr>
      <w:r>
        <w:rPr>
          <w:sz w:val="22"/>
          <w:szCs w:val="22"/>
        </w:rPr>
      </w:r>
    </w:p>
    <w:p>
      <w:pPr>
        <w:pStyle w:val="Normal"/>
        <w:rPr/>
      </w:pPr>
      <w:r>
        <w:rPr>
          <w:rFonts w:eastAsia="Times New Roman" w:cs="Times New Roman" w:ascii="Times New Roman" w:hAnsi="Times New Roman"/>
          <w:b/>
          <w:bCs/>
          <w:sz w:val="22"/>
          <w:szCs w:val="22"/>
        </w:rPr>
        <w:t xml:space="preserve">Issues. </w:t>
      </w:r>
      <w:r>
        <w:rPr>
          <w:rFonts w:eastAsia="Times New Roman" w:cs="Times New Roman" w:ascii="Times New Roman" w:hAnsi="Times New Roman"/>
          <w:sz w:val="22"/>
          <w:szCs w:val="22"/>
        </w:rPr>
        <w:t>The participants next discussed which issues among those pending in Phase I of the formal proceedings would be fruitful to address collaboratively, with the following results:</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6"/>
        </w:numPr>
        <w:tabs>
          <w:tab w:val="clear" w:pos="720"/>
          <w:tab w:val="left" w:pos="0" w:leader="none"/>
        </w:tabs>
        <w:ind w:hanging="360" w:start="720" w:end="0"/>
        <w:rPr>
          <w:b/>
          <w:bCs/>
          <w:sz w:val="22"/>
          <w:szCs w:val="22"/>
        </w:rPr>
      </w:pPr>
      <w:r>
        <w:rPr>
          <w:rFonts w:eastAsia="Times New Roman" w:cs="Times New Roman" w:ascii="Times New Roman" w:hAnsi="Times New Roman"/>
          <w:b/>
          <w:bCs/>
          <w:sz w:val="22"/>
          <w:szCs w:val="22"/>
        </w:rPr>
        <w:t>Education and Outreach</w:t>
      </w:r>
      <w:r>
        <w:rPr>
          <w:rFonts w:eastAsia="Times New Roman" w:cs="Times New Roman" w:ascii="Times New Roman" w:hAnsi="Times New Roman"/>
          <w:sz w:val="22"/>
          <w:szCs w:val="22"/>
        </w:rPr>
        <w:t xml:space="preserve">  – general agreement that this is not a high priority issue for collaborative discussion; however, utility participants may want to check the interest of other interest groups before ruling it out as a topic.</w:t>
      </w:r>
    </w:p>
    <w:p>
      <w:pPr>
        <w:pStyle w:val="Normal"/>
        <w:rPr>
          <w:b/>
          <w:bCs/>
          <w:sz w:val="22"/>
          <w:szCs w:val="22"/>
        </w:rPr>
      </w:pPr>
      <w:r>
        <w:rPr>
          <w:b/>
          <w:bCs/>
          <w:sz w:val="22"/>
          <w:szCs w:val="22"/>
        </w:rPr>
      </w:r>
    </w:p>
    <w:p>
      <w:pPr>
        <w:pStyle w:val="Normal"/>
        <w:numPr>
          <w:ilvl w:val="0"/>
          <w:numId w:val="7"/>
        </w:numPr>
        <w:tabs>
          <w:tab w:val="clear" w:pos="720"/>
          <w:tab w:val="left" w:pos="0" w:leader="none"/>
        </w:tabs>
        <w:ind w:hanging="720" w:start="720" w:end="0"/>
        <w:rPr/>
      </w:pPr>
      <w:r>
        <w:rPr>
          <w:rFonts w:eastAsia="Times New Roman" w:cs="Times New Roman" w:ascii="Times New Roman" w:hAnsi="Times New Roman"/>
          <w:b/>
          <w:bCs/>
          <w:sz w:val="22"/>
          <w:szCs w:val="22"/>
        </w:rPr>
        <w:t>Interconnection –</w:t>
      </w:r>
      <w:r>
        <w:rPr>
          <w:rFonts w:eastAsia="Times New Roman" w:cs="Times New Roman" w:ascii="Times New Roman" w:hAnsi="Times New Roman"/>
          <w:sz w:val="22"/>
          <w:szCs w:val="22"/>
        </w:rPr>
        <w:t xml:space="preserve"> most issues appear to be proceeding satisfactorily through the CEC workshops. Some that may require further work include gross metering, type of meters required, meter ownership, and interconnection costs and their allocation. To the extent that the CEC workshops leave these or other issues unresolved, participants agreed that they could usefully be addressed by this group. </w:t>
      </w:r>
    </w:p>
    <w:p>
      <w:pPr>
        <w:pStyle w:val="Normal"/>
        <w:rPr>
          <w:b/>
          <w:bCs/>
          <w:sz w:val="22"/>
          <w:szCs w:val="22"/>
        </w:rPr>
      </w:pPr>
      <w:r>
        <w:rPr>
          <w:b/>
          <w:bCs/>
          <w:sz w:val="22"/>
          <w:szCs w:val="22"/>
        </w:rPr>
      </w:r>
    </w:p>
    <w:p>
      <w:pPr>
        <w:pStyle w:val="Normal"/>
        <w:numPr>
          <w:ilvl w:val="0"/>
          <w:numId w:val="8"/>
        </w:numPr>
        <w:tabs>
          <w:tab w:val="clear" w:pos="720"/>
          <w:tab w:val="left" w:pos="0" w:leader="none"/>
        </w:tabs>
        <w:ind w:hanging="720" w:start="720" w:end="0"/>
        <w:rPr/>
      </w:pPr>
      <w:r>
        <w:rPr>
          <w:rFonts w:eastAsia="Times New Roman" w:cs="Times New Roman" w:ascii="Times New Roman" w:hAnsi="Times New Roman"/>
          <w:b/>
          <w:bCs/>
          <w:sz w:val="22"/>
          <w:szCs w:val="22"/>
        </w:rPr>
        <w:t xml:space="preserve">DG ownership and control – </w:t>
      </w:r>
      <w:r>
        <w:rPr>
          <w:rFonts w:eastAsia="Times New Roman" w:cs="Times New Roman" w:ascii="Times New Roman" w:hAnsi="Times New Roman"/>
          <w:sz w:val="22"/>
          <w:szCs w:val="22"/>
        </w:rPr>
        <w:t>agreement that all issues identified by CPUC are suitable for collaborative discussion, including market power concerns, safety and reliability concerns, funding of public purpose programs, etc.; ownership and control issues identified as high priority for discussion at the group’s April 18</w:t>
      </w:r>
      <w:r>
        <w:rPr>
          <w:rFonts w:eastAsia="Times New Roman" w:cs="Times New Roman" w:ascii="Times New Roman" w:hAnsi="Times New Roman"/>
          <w:sz w:val="22"/>
          <w:szCs w:val="22"/>
          <w:vertAlign w:val="superscript"/>
        </w:rPr>
        <w:t>th</w:t>
      </w:r>
      <w:r>
        <w:rPr>
          <w:rFonts w:eastAsia="Times New Roman" w:cs="Times New Roman" w:ascii="Times New Roman" w:hAnsi="Times New Roman"/>
          <w:sz w:val="22"/>
          <w:szCs w:val="22"/>
        </w:rPr>
        <w:t xml:space="preserve"> meeting.</w:t>
      </w:r>
    </w:p>
    <w:p>
      <w:pPr>
        <w:pStyle w:val="Normal"/>
        <w:numPr>
          <w:ilvl w:val="0"/>
          <w:numId w:val="0"/>
        </w:numPr>
        <w:ind w:hanging="0" w:start="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numPr>
          <w:ilvl w:val="0"/>
          <w:numId w:val="8"/>
        </w:numPr>
        <w:tabs>
          <w:tab w:val="clear" w:pos="720"/>
          <w:tab w:val="left" w:pos="0" w:leader="none"/>
        </w:tabs>
        <w:ind w:hanging="720" w:start="720" w:end="0"/>
        <w:rPr/>
      </w:pPr>
      <w:r>
        <w:rPr>
          <w:rFonts w:eastAsia="Times New Roman" w:cs="Times New Roman" w:ascii="Times New Roman" w:hAnsi="Times New Roman"/>
          <w:b/>
          <w:bCs/>
          <w:sz w:val="22"/>
          <w:szCs w:val="22"/>
        </w:rPr>
        <w:t>Other distribution wheeling issues –</w:t>
      </w:r>
      <w:r>
        <w:rPr>
          <w:rFonts w:eastAsia="Times New Roman" w:cs="Times New Roman" w:ascii="Times New Roman" w:hAnsi="Times New Roman"/>
          <w:sz w:val="22"/>
          <w:szCs w:val="22"/>
        </w:rPr>
        <w:t xml:space="preserve"> include possible requirements for unbundled distribution wheeling services, ‘public utility’ status of DG projects, FERC vs. CPUC jurisdiction, dispatch for capacity benefits, scheduling, ISO information needs, and ‘locational market power’ issues; all part of Phase I testimony to the extent thay involve ‘policy’ as distinct from ‘rates’, and all suitable for collaborative discussion.</w:t>
      </w:r>
    </w:p>
    <w:p>
      <w:pPr>
        <w:pStyle w:val="Normal"/>
        <w:rPr>
          <w:b/>
          <w:bCs/>
          <w:sz w:val="22"/>
          <w:szCs w:val="22"/>
        </w:rPr>
      </w:pPr>
      <w:r>
        <w:rPr>
          <w:b/>
          <w:bCs/>
          <w:sz w:val="22"/>
          <w:szCs w:val="22"/>
        </w:rPr>
      </w:r>
    </w:p>
    <w:p>
      <w:pPr>
        <w:pStyle w:val="Normal"/>
        <w:numPr>
          <w:ilvl w:val="0"/>
          <w:numId w:val="9"/>
        </w:numPr>
        <w:tabs>
          <w:tab w:val="clear" w:pos="720"/>
          <w:tab w:val="left" w:pos="0" w:leader="none"/>
        </w:tabs>
        <w:ind w:hanging="720" w:start="720" w:end="0"/>
        <w:rPr/>
      </w:pPr>
      <w:r>
        <w:rPr>
          <w:rFonts w:eastAsia="Times New Roman" w:cs="Times New Roman" w:ascii="Times New Roman" w:hAnsi="Times New Roman"/>
          <w:b/>
          <w:bCs/>
          <w:sz w:val="22"/>
          <w:szCs w:val="22"/>
        </w:rPr>
        <w:t xml:space="preserve">Generally –  </w:t>
      </w:r>
      <w:r>
        <w:rPr>
          <w:rFonts w:eastAsia="Times New Roman" w:cs="Times New Roman" w:ascii="Times New Roman" w:hAnsi="Times New Roman"/>
          <w:sz w:val="22"/>
          <w:szCs w:val="22"/>
        </w:rPr>
        <w:t>other issues, including Phase II rate design and stranded cost, and any issues left unresolved in CPUC or CEC workshops, are worth considering as topics of collaboration.</w:t>
      </w:r>
    </w:p>
    <w:p>
      <w:pPr>
        <w:pStyle w:val="Normal"/>
        <w:rPr>
          <w:b/>
          <w:bCs/>
          <w:sz w:val="22"/>
          <w:szCs w:val="22"/>
        </w:rPr>
      </w:pPr>
      <w:r>
        <w:rPr>
          <w:b/>
          <w:bCs/>
          <w:sz w:val="22"/>
          <w:szCs w:val="22"/>
        </w:rPr>
      </w:r>
    </w:p>
    <w:p>
      <w:pPr>
        <w:pStyle w:val="Normal"/>
        <w:rPr>
          <w:b/>
          <w:bCs/>
          <w:sz w:val="22"/>
          <w:szCs w:val="22"/>
        </w:rPr>
      </w:pPr>
      <w:r>
        <w:rPr>
          <w:b/>
          <w:bCs/>
          <w:sz w:val="22"/>
          <w:szCs w:val="22"/>
        </w:rPr>
      </w:r>
    </w:p>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t>Next Steps:</w:t>
      </w:r>
    </w:p>
    <w:p>
      <w:pPr>
        <w:pStyle w:val="Normal"/>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BodyText2"/>
        <w:spacing w:before="0" w:after="0"/>
        <w:rPr>
          <w:rFonts w:ascii="Times New Roman" w:hAnsi="Times New Roman" w:eastAsia="Times New Roman" w:cs="Times New Roman"/>
        </w:rPr>
      </w:pPr>
      <w:r>
        <w:rPr>
          <w:rFonts w:eastAsia="Times New Roman" w:cs="Times New Roman" w:ascii="Times New Roman" w:hAnsi="Times New Roman"/>
        </w:rPr>
        <w:t>Participants agreed to meet again to begin addressing substantive questions, beginning with ownership and control issues, on the following dates and at the following locations:</w:t>
      </w:r>
    </w:p>
    <w:p>
      <w:pPr>
        <w:pStyle w:val="BodyText2"/>
        <w:spacing w:before="0" w:after="0"/>
        <w:rPr>
          <w:rFonts w:ascii="Times New Roman" w:hAnsi="Times New Roman" w:eastAsia="Times New Roman" w:cs="Times New Roman"/>
        </w:rPr>
      </w:pPr>
      <w:r>
        <w:rPr>
          <w:rFonts w:eastAsia="Times New Roman" w:cs="Times New Roman" w:ascii="Times New Roman" w:hAnsi="Times New Roman"/>
        </w:rPr>
      </w:r>
    </w:p>
    <w:p>
      <w:pPr>
        <w:pStyle w:val="BodyText2"/>
        <w:spacing w:before="0" w:after="0"/>
        <w:rPr>
          <w:b/>
          <w:bCs/>
          <w:u w:val="single"/>
        </w:rPr>
      </w:pPr>
      <w:r>
        <w:rPr>
          <w:rFonts w:eastAsia="Times New Roman" w:cs="Times New Roman" w:ascii="Times New Roman" w:hAnsi="Times New Roman"/>
          <w:b/>
          <w:bCs/>
        </w:rPr>
        <w:t>April 18, 10:00-2:00 –  San Francisco</w:t>
      </w:r>
      <w:r>
        <w:rPr>
          <w:rFonts w:eastAsia="Times New Roman" w:cs="Times New Roman" w:ascii="Times New Roman" w:hAnsi="Times New Roman"/>
        </w:rPr>
        <w:t xml:space="preserve"> – PG&amp;E facilties – location to be determined and emailed to all</w:t>
      </w:r>
    </w:p>
    <w:p>
      <w:pPr>
        <w:pStyle w:val="Normal"/>
        <w:rPr>
          <w:b/>
          <w:bCs/>
          <w:sz w:val="22"/>
          <w:szCs w:val="22"/>
          <w:u w:val="single"/>
        </w:rPr>
      </w:pPr>
      <w:r>
        <w:rPr>
          <w:b/>
          <w:bCs/>
          <w:sz w:val="22"/>
          <w:szCs w:val="22"/>
          <w:u w:val="single"/>
        </w:rPr>
      </w:r>
    </w:p>
    <w:p>
      <w:pPr>
        <w:pStyle w:val="BodyText2"/>
        <w:spacing w:before="0" w:after="0"/>
        <w:rPr/>
      </w:pPr>
      <w:r>
        <w:rPr>
          <w:rFonts w:eastAsia="Times New Roman" w:cs="Times New Roman" w:ascii="Times New Roman" w:hAnsi="Times New Roman"/>
          <w:b/>
          <w:bCs/>
        </w:rPr>
        <w:t>April 24 – Sacramento</w:t>
      </w:r>
      <w:r>
        <w:rPr>
          <w:rFonts w:eastAsia="Times New Roman" w:cs="Times New Roman" w:ascii="Times New Roman" w:hAnsi="Times New Roman"/>
        </w:rPr>
        <w:t>, time to be announced, CMTA facilities have been offered but not yet confirmed.</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pPr>
      <w:r>
        <w:rPr>
          <w:rFonts w:eastAsia="Times New Roman" w:cs="Times New Roman" w:ascii="Times New Roman" w:hAnsi="Times New Roman"/>
          <w:b/>
          <w:bCs/>
          <w:sz w:val="22"/>
          <w:szCs w:val="22"/>
        </w:rPr>
        <w:t xml:space="preserve">May 9 </w:t>
        <w:softHyphen/>
        <w:t xml:space="preserve">– San Francisco </w:t>
      </w:r>
      <w:r>
        <w:rPr>
          <w:sz w:val="22"/>
          <w:szCs w:val="22"/>
        </w:rPr>
        <w:t>–</w:t>
      </w:r>
      <w:r>
        <w:rPr>
          <w:rFonts w:eastAsia="Times New Roman" w:cs="Times New Roman" w:ascii="Times New Roman" w:hAnsi="Times New Roman"/>
          <w:sz w:val="22"/>
          <w:szCs w:val="22"/>
        </w:rPr>
        <w:t xml:space="preserve"> time to be announced, PG&amp;E facilities have been offered but not yet confirmed </w:t>
      </w:r>
    </w:p>
    <w:p>
      <w:pPr>
        <w:pStyle w:val="Normal"/>
        <w:pBdr>
          <w:top w:val="single" w:sz="6" w:space="1" w:color="000000"/>
          <w:left w:val="single" w:sz="6" w:space="4" w:color="000000"/>
          <w:bottom w:val="single" w:sz="6" w:space="1" w:color="000000"/>
          <w:right w:val="single" w:sz="6" w:space="4" w:color="000000"/>
        </w:pBdr>
        <w:rPr>
          <w:rFonts w:ascii="Times New Roman" w:hAnsi="Times New Roman" w:eastAsia="Times New Roman" w:cs="Times New Roman"/>
          <w:sz w:val="22"/>
          <w:szCs w:val="22"/>
        </w:rPr>
      </w:pPr>
      <w:r>
        <w:rPr>
          <w:rFonts w:eastAsia="Times New Roman" w:cs="Times New Roman" w:ascii="Times New Roman" w:hAnsi="Times New Roman"/>
          <w:sz w:val="22"/>
          <w:szCs w:val="22"/>
        </w:rPr>
      </w:r>
    </w:p>
    <w:sectPr>
      <w:type w:val="nextPage"/>
      <w:pgSz w:w="12240" w:h="15840"/>
      <w:pgMar w:left="1440" w:right="1440" w:gutter="0" w:header="0" w:top="1152" w:footer="0" w:bottom="5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4d" w:characterSet="macintosh"/>
    <w:family w:val="roman"/>
    <w:pitch w:val="variable"/>
  </w:font>
  <w:font w:name="Liberation Sans">
    <w:altName w:val="Arial"/>
    <w:charset w:val="01" w:characterSet="utf-8"/>
    <w:family w:val="swiss"/>
    <w:pitch w:val="variable"/>
  </w:font>
  <w:font w:name="Arial">
    <w:charset w:val="4d" w:characterSet="macintosh"/>
    <w:family w:val="swiss"/>
    <w:pitch w:val="variable"/>
  </w:font>
  <w:font w:name="Times New Roman">
    <w:charset w:val="4d" w:characterSet="macintosh"/>
    <w:family w:val="roman"/>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sz w:val="22"/>
      <w:szCs w:val="22"/>
      <w:u w:val="single"/>
    </w:rPr>
  </w:style>
  <w:style w:type="paragraph" w:styleId="Heading2">
    <w:name w:val="heading 2"/>
    <w:basedOn w:val="Normal"/>
    <w:next w:val="Normal"/>
    <w:qFormat/>
    <w:pPr>
      <w:keepNext w:val="true"/>
      <w:numPr>
        <w:ilvl w:val="1"/>
        <w:numId w:val="1"/>
      </w:numPr>
      <w:outlineLvl w:val="1"/>
    </w:pPr>
    <w:rPr>
      <w:b/>
      <w:bCs/>
      <w:sz w:val="22"/>
      <w:szCs w:val="22"/>
    </w:rPr>
  </w:style>
  <w:style w:type="paragraph" w:styleId="Heading3">
    <w:name w:val="heading 3"/>
    <w:basedOn w:val="Normal"/>
    <w:next w:val="Normal"/>
    <w:qFormat/>
    <w:pPr>
      <w:keepNext w:val="true"/>
      <w:numPr>
        <w:ilvl w:val="2"/>
        <w:numId w:val="1"/>
      </w:numPr>
      <w:jc w:val="center"/>
      <w:outlineLvl w:val="2"/>
    </w:pPr>
    <w:rPr>
      <w:b/>
      <w:bCs/>
      <w:sz w:val="22"/>
      <w:szCs w:val="22"/>
    </w:rPr>
  </w:style>
  <w:style w:type="paragraph" w:styleId="Heading4">
    <w:name w:val="heading 4"/>
    <w:basedOn w:val="Normal"/>
    <w:next w:val="Normal"/>
    <w:qFormat/>
    <w:pPr>
      <w:keepNext w:val="true"/>
      <w:numPr>
        <w:ilvl w:val="3"/>
        <w:numId w:val="1"/>
      </w:numPr>
      <w:jc w:val="end"/>
      <w:outlineLvl w:val="3"/>
    </w:pPr>
    <w:rPr>
      <w:sz w:val="22"/>
      <w:szCs w:val="22"/>
      <w:u w:val="single"/>
    </w:rPr>
  </w:style>
  <w:style w:type="paragraph" w:styleId="Heading5">
    <w:name w:val="heading 5"/>
    <w:basedOn w:val="Normal"/>
    <w:next w:val="Normal"/>
    <w:qFormat/>
    <w:pPr>
      <w:keepNext w:val="true"/>
      <w:numPr>
        <w:ilvl w:val="4"/>
        <w:numId w:val="1"/>
      </w:numPr>
      <w:jc w:val="center"/>
      <w:outlineLvl w:val="4"/>
    </w:pPr>
    <w:rPr>
      <w:sz w:val="22"/>
      <w:szCs w:val="22"/>
      <w:u w:val="single"/>
    </w:rPr>
  </w:style>
  <w:style w:type="paragraph" w:styleId="Heading6">
    <w:name w:val="heading 6"/>
    <w:basedOn w:val="Normal"/>
    <w:next w:val="Normal"/>
    <w:qFormat/>
    <w:pPr>
      <w:keepNext w:val="true"/>
      <w:numPr>
        <w:ilvl w:val="5"/>
        <w:numId w:val="1"/>
      </w:numPr>
      <w:outlineLvl w:val="5"/>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next w:val="Normal"/>
    <w:qFormat/>
    <w:pPr>
      <w:jc w:val="center"/>
    </w:pPr>
    <w:rPr>
      <w:b/>
      <w:bCs/>
      <w:u w:val="single"/>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style>
  <w:style w:type="paragraph" w:styleId="BodyText2">
    <w:name w:val="Body Text 2"/>
    <w:basedOn w:val="Normal"/>
    <w:qFormat/>
    <w:pPr>
      <w:spacing w:before="0" w:after="120"/>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2000-04-12T21:51:00Z</dcterms:created>
  <dc:creator>John Nimmons</dc:creator>
  <dc:description/>
  <dc:language>en-CA</dc:language>
  <cp:lastModifiedBy>John Nimmons</cp:lastModifiedBy>
  <cp:lastPrinted>2000-03-16T18:06:00Z</cp:lastPrinted>
  <dcterms:modified xsi:type="dcterms:W3CDTF">2000-04-12T21:51:00Z</dcterms:modified>
  <cp:revision>1</cp:revision>
  <dc:subject/>
  <dc:title>Individual</dc:title>
</cp:coreProperties>
</file>