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emf" ContentType="image/x-emf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4770"/>
        <w:gridCol w:w="2610"/>
      </w:tblGrid>
      <w:tr>
        <w:trPr/>
        <w:tc>
          <w:tcPr>
            <w:tcW w:w="2988" w:type="dxa"/>
            <w:tcBorders>
              <w:top w:val="single" w:sz="24" w:space="0" w:color="000000"/>
              <w:start w:val="single" w:sz="24" w:space="0" w:color="000000"/>
            </w:tcBorders>
          </w:tcPr>
          <w:p>
            <w:pPr>
              <w:pStyle w:val="Informal1"/>
              <w:spacing w:before="240" w:after="60"/>
              <w:rPr/>
            </w:pPr>
            <w:r>
              <w:rPr/>
              <w:drawing>
                <wp:inline distT="0" distB="0" distL="0" distR="0">
                  <wp:extent cx="1760220" cy="6800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7" t="-44" r="-17" b="-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68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object w:dxaOrig="2801" w:dyaOrig="2047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140.05pt;height:102.35pt" filled="f" o:ole="">
                  <v:imagedata r:id="rId4" o:title=""/>
                </v:shape>
                <o:OLEObject Type="Embed" ProgID="" ShapeID="ole_rId3" DrawAspect="Content" ObjectID="_704718859" r:id="rId3"/>
              </w:object>
            </w:r>
          </w:p>
        </w:tc>
        <w:tc>
          <w:tcPr>
            <w:tcW w:w="7380" w:type="dxa"/>
            <w:gridSpan w:val="2"/>
            <w:tcBorders>
              <w:top w:val="single" w:sz="24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r>
              <w:rPr>
                <w:b/>
                <w:sz w:val="68"/>
              </w:rPr>
              <w:t>PG&amp;E</w:t>
            </w:r>
          </w:p>
          <w:p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r>
              <w:rPr>
                <w:b/>
                <w:sz w:val="68"/>
              </w:rPr>
              <w:t>Electric Transmission Grid Expansion Plan</w:t>
            </w:r>
          </w:p>
          <w:p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r>
              <w:rPr>
                <w:b/>
                <w:sz w:val="68"/>
              </w:rPr>
              <w:t>Meeting #5</w:t>
            </w:r>
          </w:p>
          <w:p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r>
              <w:rPr>
                <w:b/>
                <w:sz w:val="68"/>
              </w:rPr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September 17 and 18</w:t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10:00 AM to 4 PM</w:t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PG&amp;E General Offices</w:t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77 Beale Street, Conference Room 308</w:t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San Francisco, CA  94177</w:t>
            </w:r>
          </w:p>
        </w:tc>
      </w:tr>
      <w:tr>
        <w:trPr/>
        <w:tc>
          <w:tcPr>
            <w:tcW w:w="2988" w:type="dxa"/>
            <w:tcBorders>
              <w:start w:val="single" w:sz="24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Meeting called by:</w:t>
            </w:r>
          </w:p>
          <w:p>
            <w:pPr>
              <w:pStyle w:val="Informal2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Type of meeting:</w:t>
            </w:r>
          </w:p>
          <w:p>
            <w:pPr>
              <w:pStyle w:val="Informal2"/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Facilitator:</w:t>
            </w:r>
          </w:p>
        </w:tc>
        <w:tc>
          <w:tcPr>
            <w:tcW w:w="7380" w:type="dxa"/>
            <w:gridSpan w:val="2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sz w:val="24"/>
              </w:rPr>
            </w:pPr>
            <w:r>
              <w:rPr>
                <w:sz w:val="24"/>
              </w:rPr>
              <w:t>Pacific Gas &amp; Electric Company</w:t>
            </w:r>
          </w:p>
          <w:p>
            <w:pPr>
              <w:pStyle w:val="Informal1"/>
              <w:rPr>
                <w:sz w:val="24"/>
              </w:rPr>
            </w:pPr>
            <w:r>
              <w:rPr>
                <w:sz w:val="24"/>
              </w:rPr>
              <w:t>Expansion Plan Stakeholders Meeting #5</w:t>
            </w:r>
          </w:p>
          <w:p>
            <w:pPr>
              <w:pStyle w:val="Informal1"/>
              <w:rPr>
                <w:sz w:val="24"/>
              </w:rPr>
            </w:pPr>
            <w:r>
              <w:rPr>
                <w:sz w:val="24"/>
              </w:rPr>
              <w:t xml:space="preserve">Mark Esguerra </w:t>
            </w:r>
          </w:p>
          <w:p>
            <w:pPr>
              <w:pStyle w:val="Informal1"/>
              <w:rPr>
                <w:sz w:val="24"/>
              </w:rPr>
            </w:pPr>
            <w:r>
              <w:rPr>
                <w:sz w:val="24"/>
              </w:rPr>
              <w:t>Phone (415-973-4380)</w:t>
            </w:r>
          </w:p>
          <w:p>
            <w:pPr>
              <w:pStyle w:val="Informal1"/>
              <w:widowControl/>
              <w:overflowPunct w:val="false"/>
              <w:autoSpaceDE w:val="false"/>
              <w:bidi w:val="0"/>
              <w:spacing w:before="60" w:after="60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5">
              <w:r>
                <w:rPr>
                  <w:rStyle w:val="Hyperlink"/>
                  <w:sz w:val="24"/>
                </w:rPr>
                <w:t>PME8@pge.com</w:t>
              </w:r>
            </w:hyperlink>
          </w:p>
        </w:tc>
      </w:tr>
      <w:tr>
        <w:trPr/>
        <w:tc>
          <w:tcPr>
            <w:tcW w:w="2988" w:type="dxa"/>
            <w:tcBorders>
              <w:start w:val="single" w:sz="24" w:space="0" w:color="000000"/>
              <w:bottom w:val="single" w:sz="24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rPr/>
            </w:pPr>
            <w:r>
              <w:rPr/>
              <w:t>Attendees:</w:t>
            </w:r>
          </w:p>
        </w:tc>
        <w:tc>
          <w:tcPr>
            <w:tcW w:w="7380" w:type="dxa"/>
            <w:gridSpan w:val="2"/>
            <w:tcBorders>
              <w:bottom w:val="single" w:sz="24" w:space="0" w:color="000000"/>
              <w:end w:val="single" w:sz="24" w:space="0" w:color="000000"/>
            </w:tcBorders>
          </w:tcPr>
          <w:p>
            <w:pPr>
              <w:pStyle w:val="Informal1"/>
              <w:widowControl/>
              <w:overflowPunct w:val="false"/>
              <w:autoSpaceDE w:val="false"/>
              <w:bidi w:val="0"/>
              <w:spacing w:before="60" w:after="60"/>
              <w:textAlignment w:val="baseline"/>
              <w:rPr/>
            </w:pPr>
            <w:r>
              <w:rPr/>
              <w:t>PG&amp;E Expansion Plan Stakeholders</w:t>
            </w:r>
          </w:p>
        </w:tc>
      </w:tr>
      <w:tr>
        <w:trPr/>
        <w:tc>
          <w:tcPr>
            <w:tcW w:w="2988" w:type="dxa"/>
            <w:tcBorders>
              <w:top w:val="single" w:sz="24" w:space="0" w:color="000000"/>
              <w:start w:val="single" w:sz="24" w:space="0" w:color="000000"/>
              <w:bottom w:val="single" w:sz="24" w:space="0" w:color="000000"/>
            </w:tcBorders>
            <w:shd w:fill="FFFFFF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September 17, 2001</w:t>
            </w:r>
          </w:p>
        </w:tc>
        <w:tc>
          <w:tcPr>
            <w:tcW w:w="7380" w:type="dxa"/>
            <w:gridSpan w:val="2"/>
            <w:tcBorders>
              <w:bottom w:val="single" w:sz="24" w:space="0" w:color="000000"/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b/>
                <w:sz w:val="48"/>
              </w:rPr>
            </w:pPr>
            <w:r>
              <w:rPr>
                <w:b/>
                <w:sz w:val="48"/>
              </w:rPr>
              <w:t>Day 1:  Bay Area Projects</w:t>
            </w:r>
          </w:p>
        </w:tc>
      </w:tr>
      <w:tr>
        <w:trPr/>
        <w:tc>
          <w:tcPr>
            <w:tcW w:w="2988" w:type="dxa"/>
            <w:tcBorders>
              <w:top w:val="single" w:sz="24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Presentation Order</w:t>
            </w:r>
          </w:p>
        </w:tc>
        <w:tc>
          <w:tcPr>
            <w:tcW w:w="4770" w:type="dxa"/>
            <w:tcBorders>
              <w:top w:val="single" w:sz="2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  <w:t>Agenda Topics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0" w:after="12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Presenters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1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Introduction/Meeting #4 Review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Mark Esguerra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2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0"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PG&amp;E Project Updates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Mark Esguerra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3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Status of Tri Valley Project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Alex Bingtan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4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San Jose Long Term Study</w:t>
            </w:r>
          </w:p>
          <w:p>
            <w:pPr>
              <w:pStyle w:val="Informal1"/>
              <w:numPr>
                <w:ilvl w:val="0"/>
                <w:numId w:val="3"/>
              </w:numPr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Status of Los Esteros Project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Kevin Kozminski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5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Bay Area Bulk Transmission Study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Eric Law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24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6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24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1"/>
              <w:spacing w:before="0"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Bay Area Project Proposals</w:t>
            </w:r>
          </w:p>
          <w:p>
            <w:pPr>
              <w:pStyle w:val="Informal1"/>
              <w:spacing w:before="0"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Informal1"/>
              <w:numPr>
                <w:ilvl w:val="0"/>
                <w:numId w:val="3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Eastern Bay Area</w:t>
            </w:r>
          </w:p>
          <w:p>
            <w:pPr>
              <w:pStyle w:val="Informal1"/>
              <w:numPr>
                <w:ilvl w:val="0"/>
                <w:numId w:val="3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San Francisco-Peninsula</w:t>
            </w:r>
          </w:p>
          <w:p>
            <w:pPr>
              <w:pStyle w:val="Informal1"/>
              <w:numPr>
                <w:ilvl w:val="0"/>
                <w:numId w:val="3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South Bay/Central Coast Area</w:t>
            </w:r>
          </w:p>
          <w:p>
            <w:pPr>
              <w:pStyle w:val="Informal1"/>
              <w:spacing w:before="0" w:after="0"/>
              <w:rPr>
                <w:b/>
                <w:bCs/>
                <w:i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24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Dave Casuncad</w:t>
            </w:r>
          </w:p>
          <w:p>
            <w:pPr>
              <w:pStyle w:val="Informal1"/>
              <w:spacing w:before="60" w:after="60"/>
              <w:jc w:val="center"/>
              <w:rPr/>
            </w:pPr>
            <w:r>
              <w:rPr/>
              <w:t>Mark Esguerra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4770"/>
        <w:gridCol w:w="2610"/>
      </w:tblGrid>
      <w:tr>
        <w:trPr/>
        <w:tc>
          <w:tcPr>
            <w:tcW w:w="2988" w:type="dxa"/>
            <w:tcBorders>
              <w:top w:val="single" w:sz="24" w:space="0" w:color="000000"/>
              <w:start w:val="single" w:sz="24" w:space="0" w:color="000000"/>
              <w:bottom w:val="single" w:sz="24" w:space="0" w:color="000000"/>
            </w:tcBorders>
            <w:shd w:fill="FFFFFF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September 18, 2001</w:t>
            </w:r>
          </w:p>
        </w:tc>
        <w:tc>
          <w:tcPr>
            <w:tcW w:w="7380" w:type="dxa"/>
            <w:gridSpan w:val="2"/>
            <w:tcBorders>
              <w:top w:val="single" w:sz="24" w:space="0" w:color="000000"/>
              <w:bottom w:val="single" w:sz="24" w:space="0" w:color="000000"/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b/>
                <w:sz w:val="48"/>
              </w:rPr>
            </w:pPr>
            <w:r>
              <w:rPr>
                <w:b/>
                <w:sz w:val="48"/>
              </w:rPr>
              <w:t>Day 2:  Non-Bay Area Projects</w:t>
            </w:r>
          </w:p>
        </w:tc>
      </w:tr>
      <w:tr>
        <w:trPr/>
        <w:tc>
          <w:tcPr>
            <w:tcW w:w="2988" w:type="dxa"/>
            <w:tcBorders>
              <w:top w:val="single" w:sz="24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Presentation Order</w:t>
            </w:r>
          </w:p>
        </w:tc>
        <w:tc>
          <w:tcPr>
            <w:tcW w:w="4770" w:type="dxa"/>
            <w:tcBorders>
              <w:top w:val="single" w:sz="2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  <w:t>Agenda Topics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0" w:after="12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Presenters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1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0"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Greater Fresno Long Term Update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Mark Esguerra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2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0"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Southern Valley Project Proposals</w:t>
            </w:r>
          </w:p>
          <w:p>
            <w:pPr>
              <w:pStyle w:val="Informal1"/>
              <w:numPr>
                <w:ilvl w:val="0"/>
                <w:numId w:val="5"/>
              </w:numPr>
              <w:spacing w:before="0" w:after="0"/>
              <w:rPr>
                <w:b/>
                <w:bCs/>
                <w:i/>
                <w:i/>
                <w:iCs/>
                <w:sz w:val="24"/>
              </w:rPr>
            </w:pPr>
            <w:r>
              <w:rPr>
                <w:i/>
                <w:iCs/>
              </w:rPr>
              <w:t xml:space="preserve">Greater Fresno </w:t>
            </w:r>
          </w:p>
          <w:p>
            <w:pPr>
              <w:pStyle w:val="Informal1"/>
              <w:numPr>
                <w:ilvl w:val="0"/>
                <w:numId w:val="5"/>
              </w:numPr>
              <w:spacing w:before="0" w:after="0"/>
              <w:rPr>
                <w:b/>
                <w:bCs/>
                <w:sz w:val="24"/>
              </w:rPr>
            </w:pPr>
            <w:r>
              <w:rPr>
                <w:i/>
                <w:iCs/>
              </w:rPr>
              <w:t>Kern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Soussane Sadre</w:t>
            </w:r>
          </w:p>
          <w:p>
            <w:pPr>
              <w:pStyle w:val="Informal1"/>
              <w:spacing w:before="60" w:after="60"/>
              <w:jc w:val="center"/>
              <w:rPr/>
            </w:pPr>
            <w:r>
              <w:rPr/>
              <w:t>Mark Esguerra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3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Northern Valley and Coast Proposals</w:t>
            </w:r>
          </w:p>
          <w:p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b/>
                <w:bCs/>
                <w:sz w:val="24"/>
              </w:rPr>
            </w:pPr>
            <w:r>
              <w:rPr>
                <w:i/>
                <w:iCs/>
              </w:rPr>
              <w:t xml:space="preserve">Humboldt </w:t>
            </w:r>
          </w:p>
          <w:p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b/>
                <w:bCs/>
                <w:sz w:val="24"/>
              </w:rPr>
            </w:pPr>
            <w:r>
              <w:rPr>
                <w:i/>
                <w:iCs/>
              </w:rPr>
              <w:t>North Coast</w:t>
            </w:r>
          </w:p>
          <w:p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b/>
                <w:bCs/>
                <w:sz w:val="24"/>
              </w:rPr>
            </w:pPr>
            <w:r>
              <w:rPr>
                <w:i/>
                <w:iCs/>
              </w:rPr>
              <w:t>North Valley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Lorenzo Thompson</w:t>
            </w:r>
          </w:p>
        </w:tc>
      </w:tr>
      <w:tr>
        <w:trPr>
          <w:trHeight w:val="720" w:hRule="atLeast"/>
        </w:trPr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24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4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24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Central Valley Project Proposals</w:t>
            </w:r>
          </w:p>
          <w:p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b/>
                <w:bCs/>
                <w:sz w:val="24"/>
              </w:rPr>
            </w:pPr>
            <w:r>
              <w:rPr>
                <w:i/>
                <w:iCs/>
              </w:rPr>
              <w:t>Sierra</w:t>
            </w:r>
          </w:p>
          <w:p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b/>
                <w:bCs/>
                <w:sz w:val="24"/>
              </w:rPr>
            </w:pPr>
            <w:r>
              <w:rPr>
                <w:i/>
                <w:iCs/>
              </w:rPr>
              <w:t>Sacramento</w:t>
            </w:r>
          </w:p>
          <w:p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b/>
                <w:bCs/>
                <w:sz w:val="24"/>
              </w:rPr>
            </w:pPr>
            <w:r>
              <w:rPr>
                <w:i/>
                <w:iCs/>
              </w:rPr>
              <w:t>Stockton</w:t>
            </w:r>
          </w:p>
          <w:p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b/>
                <w:bCs/>
                <w:sz w:val="24"/>
              </w:rPr>
            </w:pPr>
            <w:r>
              <w:rPr>
                <w:i/>
                <w:iCs/>
              </w:rPr>
              <w:t>Stanislaus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24" w:space="0" w:color="000000"/>
              <w:end w:val="single" w:sz="24" w:space="0" w:color="000000"/>
            </w:tcBorders>
            <w:shd w:fill="E5E5E5" w:val="clear"/>
            <w:vAlign w:val="cente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Lorenzo Thompson</w:t>
            </w:r>
          </w:p>
          <w:p>
            <w:pPr>
              <w:pStyle w:val="Informal1"/>
              <w:spacing w:before="60" w:after="60"/>
              <w:jc w:val="center"/>
              <w:rPr/>
            </w:pPr>
            <w:r>
              <w:rPr/>
              <w:t>Mark Esguerra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type w:val="nextPage"/>
      <w:pgSz w:w="12240" w:h="15840"/>
      <w:pgMar w:left="1008" w:right="1008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/>
      <w:t xml:space="preserve">Meeting Agenda                            </w:t>
      <w:tab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  <w:rPr/>
    </w:pPr>
    <w:r>
      <w:rPr>
        <w:rStyle w:val="PageNumber"/>
      </w:rPr>
      <w:t>PMEsguerra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upperRoman"/>
      <w:lvlText w:val="%1."/>
      <w:lvlJc w:val="start"/>
      <w:pPr>
        <w:tabs>
          <w:tab w:val="num" w:pos="180"/>
        </w:tabs>
        <w:ind w:start="180" w:hanging="180"/>
      </w:pPr>
    </w:lvl>
    <w:lvl w:ilvl="1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color w:val="00000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color w:val="00000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2"/>
      </w:numPr>
      <w:tabs>
        <w:tab w:val="left" w:pos="540" w:leader="none"/>
        <w:tab w:val="left" w:pos="720" w:leader="none"/>
      </w:tabs>
      <w:outlineLvl w:val="2"/>
    </w:pPr>
    <w:rPr>
      <w:sz w:val="24"/>
      <w:u w:val="single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7z0">
    <w:name w:val="WW8Num7z0"/>
    <w:qFormat/>
    <w:rPr>
      <w:rFonts w:ascii="Symbol" w:hAnsi="Symbol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Times New Roman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color w:val="000000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  <w:color w:val="000000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color w:val="000000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color w:val="000000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0">
    <w:name w:val="WW8Num43z0"/>
    <w:qFormat/>
    <w:rPr/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  <w:color w:val="000000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6z3">
    <w:name w:val="WW8Num46z3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000000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7z3">
    <w:name w:val="WW8Num47z3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49z1">
    <w:name w:val="WW8Num49z1"/>
    <w:qFormat/>
    <w:rPr>
      <w:rFonts w:ascii="Courier New" w:hAnsi="Courier New" w:cs="Courier New"/>
    </w:rPr>
  </w:style>
  <w:style w:type="character" w:styleId="WW8Num49z2">
    <w:name w:val="WW8Num49z2"/>
    <w:qFormat/>
    <w:rPr>
      <w:rFonts w:ascii="Wingdings" w:hAnsi="Wingdings" w:cs="Wingdings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1z0">
    <w:name w:val="WW8Num51z0"/>
    <w:qFormat/>
    <w:rPr>
      <w:rFonts w:ascii="Symbol" w:hAnsi="Symbol" w:cs="Symbol"/>
      <w:color w:val="000000"/>
    </w:rPr>
  </w:style>
  <w:style w:type="character" w:styleId="WW8Num51z1">
    <w:name w:val="WW8Num51z1"/>
    <w:qFormat/>
    <w:rPr>
      <w:rFonts w:ascii="Courier New" w:hAnsi="Courier New" w:cs="Courier New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1z3">
    <w:name w:val="WW8Num51z3"/>
    <w:qFormat/>
    <w:rPr>
      <w:rFonts w:ascii="Symbol" w:hAnsi="Symbol" w:cs="Symbol"/>
    </w:rPr>
  </w:style>
  <w:style w:type="character" w:styleId="WW8Num52z0">
    <w:name w:val="WW8Num52z0"/>
    <w:qFormat/>
    <w:rPr/>
  </w:style>
  <w:style w:type="character" w:styleId="WW8Num53z0">
    <w:name w:val="WW8Num53z0"/>
    <w:qFormat/>
    <w:rPr>
      <w:rFonts w:ascii="Symbol" w:hAnsi="Symbol" w:cs="Symbol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2">
    <w:name w:val="WW8Num53z2"/>
    <w:qFormat/>
    <w:rPr>
      <w:rFonts w:ascii="Wingdings" w:hAnsi="Wingdings" w:cs="Wingdings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4z2">
    <w:name w:val="WW8Num54z2"/>
    <w:qFormat/>
    <w:rPr>
      <w:rFonts w:ascii="Wingdings" w:hAnsi="Wingdings" w:cs="Wingdings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5z4">
    <w:name w:val="WW8Num55z4"/>
    <w:qFormat/>
    <w:rPr>
      <w:rFonts w:ascii="Courier New" w:hAnsi="Courier New" w:cs="Courier New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7z2">
    <w:name w:val="WW8Num57z2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60z3">
    <w:name w:val="WW8Num60z3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2">
    <w:name w:val="WW8Num63z2"/>
    <w:qFormat/>
    <w:rPr>
      <w:rFonts w:ascii="Wingdings" w:hAnsi="Wingdings" w:cs="Wingdings"/>
    </w:rPr>
  </w:style>
  <w:style w:type="character" w:styleId="WW8Num64z0">
    <w:name w:val="WW8Num64z0"/>
    <w:qFormat/>
    <w:rPr>
      <w:rFonts w:ascii="Symbol" w:hAnsi="Symbol" w:cs="Symbol"/>
      <w:color w:val="000000"/>
    </w:rPr>
  </w:style>
  <w:style w:type="character" w:styleId="WW8Num64z1">
    <w:name w:val="WW8Num64z1"/>
    <w:qFormat/>
    <w:rPr>
      <w:rFonts w:ascii="Courier New" w:hAnsi="Courier New" w:cs="Courier New"/>
    </w:rPr>
  </w:style>
  <w:style w:type="character" w:styleId="WW8Num64z2">
    <w:name w:val="WW8Num64z2"/>
    <w:qFormat/>
    <w:rPr>
      <w:rFonts w:ascii="Wingdings" w:hAnsi="Wingdings" w:cs="Wingdings"/>
    </w:rPr>
  </w:style>
  <w:style w:type="character" w:styleId="WW8Num64z3">
    <w:name w:val="WW8Num64z3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  <w:color w:val="000000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5z2">
    <w:name w:val="WW8Num65z2"/>
    <w:qFormat/>
    <w:rPr>
      <w:rFonts w:ascii="Wingdings" w:hAnsi="Wingdings" w:cs="Wingdings"/>
    </w:rPr>
  </w:style>
  <w:style w:type="character" w:styleId="WW8Num65z3">
    <w:name w:val="WW8Num65z3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6z1">
    <w:name w:val="WW8Num66z1"/>
    <w:qFormat/>
    <w:rPr>
      <w:rFonts w:ascii="Courier New" w:hAnsi="Courier New" w:cs="Courier New"/>
    </w:rPr>
  </w:style>
  <w:style w:type="character" w:styleId="WW8Num66z2">
    <w:name w:val="WW8Num66z2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  <w:color w:val="000000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67z3">
    <w:name w:val="WW8Num67z3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2">
    <w:name w:val="WW8Num68z2"/>
    <w:qFormat/>
    <w:rPr>
      <w:rFonts w:ascii="Wingdings" w:hAnsi="Wingdings" w:cs="Wingdings"/>
    </w:rPr>
  </w:style>
  <w:style w:type="character" w:styleId="WW8Num69z0">
    <w:name w:val="WW8Num69z0"/>
    <w:qFormat/>
    <w:rPr>
      <w:rFonts w:ascii="Wingdings" w:hAnsi="Wingdings" w:cs="Wingdings"/>
    </w:rPr>
  </w:style>
  <w:style w:type="character" w:styleId="WW8Num69z1">
    <w:name w:val="WW8Num69z1"/>
    <w:qFormat/>
    <w:rPr>
      <w:rFonts w:ascii="Courier New" w:hAnsi="Courier New" w:cs="Courier New"/>
    </w:rPr>
  </w:style>
  <w:style w:type="character" w:styleId="WW8Num69z3">
    <w:name w:val="WW8Num69z3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2z1">
    <w:name w:val="WW8Num72z1"/>
    <w:qFormat/>
    <w:rPr>
      <w:rFonts w:ascii="Courier New" w:hAnsi="Courier New" w:cs="Courier New"/>
    </w:rPr>
  </w:style>
  <w:style w:type="character" w:styleId="WW8Num72z2">
    <w:name w:val="WW8Num72z2"/>
    <w:qFormat/>
    <w:rPr>
      <w:rFonts w:ascii="Wingdings" w:hAnsi="Wingdings" w:cs="Wingdings"/>
    </w:rPr>
  </w:style>
  <w:style w:type="character" w:styleId="WW8Num73z0">
    <w:name w:val="WW8Num73z0"/>
    <w:qFormat/>
    <w:rPr>
      <w:rFonts w:ascii="Wingdings" w:hAnsi="Wingdings" w:cs="Wingdings"/>
    </w:rPr>
  </w:style>
  <w:style w:type="character" w:styleId="WW8Num73z1">
    <w:name w:val="WW8Num73z1"/>
    <w:qFormat/>
    <w:rPr>
      <w:rFonts w:ascii="Courier New" w:hAnsi="Courier New" w:cs="Courier New"/>
    </w:rPr>
  </w:style>
  <w:style w:type="character" w:styleId="WW8Num73z3">
    <w:name w:val="WW8Num73z3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4z1">
    <w:name w:val="WW8Num74z1"/>
    <w:qFormat/>
    <w:rPr>
      <w:rFonts w:ascii="Courier New" w:hAnsi="Courier New" w:cs="Courier New"/>
    </w:rPr>
  </w:style>
  <w:style w:type="character" w:styleId="WW8Num74z2">
    <w:name w:val="WW8Num74z2"/>
    <w:qFormat/>
    <w:rPr>
      <w:rFonts w:ascii="Wingdings" w:hAnsi="Wingdings" w:cs="Wingdings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5z1">
    <w:name w:val="WW8Num75z1"/>
    <w:qFormat/>
    <w:rPr>
      <w:rFonts w:ascii="Courier New" w:hAnsi="Courier New" w:cs="Courier New"/>
    </w:rPr>
  </w:style>
  <w:style w:type="character" w:styleId="WW8Num75z2">
    <w:name w:val="WW8Num75z2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25z0">
    <w:name w:val="WW8NumSt25z0"/>
    <w:qFormat/>
    <w:rPr>
      <w:rFonts w:ascii="Monotype Sorts" w:hAnsi="Monotype Sorts" w:cs="Monotype Sorts"/>
      <w:sz w:val="30"/>
    </w:rPr>
  </w:style>
  <w:style w:type="character" w:styleId="WW8NumSt26z0">
    <w:name w:val="WW8NumSt26z0"/>
    <w:qFormat/>
    <w:rPr>
      <w:rFonts w:ascii="Courier New" w:hAnsi="Courier New" w:cs="Courier New"/>
      <w:sz w:val="3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rmal1">
    <w:name w:val="Formal1"/>
    <w:qFormat/>
    <w:pPr>
      <w:widowControl/>
      <w:overflowPunct w:val="false"/>
      <w:autoSpaceDE w:val="false"/>
      <w:bidi w:val="0"/>
      <w:spacing w:before="60" w:after="6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Formal2">
    <w:name w:val="Formal2"/>
    <w:basedOn w:val="Formal1"/>
    <w:qFormat/>
    <w:pPr/>
    <w:rPr>
      <w:rFonts w:ascii="Arial" w:hAnsi="Arial" w:cs="Arial"/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tandard1">
    <w:name w:val="Standard1"/>
    <w:qFormat/>
    <w:pPr>
      <w:widowControl/>
      <w:overflowPunct w:val="false"/>
      <w:autoSpaceDE w:val="false"/>
      <w:bidi w:val="0"/>
      <w:spacing w:before="60" w:after="6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Standard2">
    <w:name w:val="Standard2"/>
    <w:basedOn w:val="Standard1"/>
    <w:qFormat/>
    <w:pPr/>
    <w:rPr>
      <w:rFonts w:ascii="Arial" w:hAnsi="Arial" w:cs="Arial"/>
      <w:b/>
    </w:rPr>
  </w:style>
  <w:style w:type="paragraph" w:styleId="Informal1">
    <w:name w:val="Informal1"/>
    <w:qFormat/>
    <w:pPr>
      <w:widowControl/>
      <w:overflowPunct w:val="false"/>
      <w:autoSpaceDE w:val="false"/>
      <w:bidi w:val="0"/>
      <w:spacing w:before="60" w:after="6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Informal2">
    <w:name w:val="Informal2"/>
    <w:basedOn w:val="Informal1"/>
    <w:qFormat/>
    <w:pPr/>
    <w:rPr>
      <w:rFonts w:ascii="Arial" w:hAnsi="Arial" w:cs="Arial"/>
      <w:b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4">
    <w:name w:val="xl24"/>
    <w:basedOn w:val="Normal"/>
    <w:qFormat/>
    <w:pPr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sz w:val="16"/>
      <w:szCs w:val="16"/>
    </w:rPr>
  </w:style>
  <w:style w:type="paragraph" w:styleId="xl25">
    <w:name w:val="xl25"/>
    <w:basedOn w:val="Normal"/>
    <w:qFormat/>
    <w:pPr>
      <w:overflowPunct w:val="true"/>
      <w:autoSpaceDE w:val="true"/>
      <w:spacing w:before="100" w:after="100"/>
      <w:textAlignment w:val="auto"/>
    </w:pPr>
    <w:rPr>
      <w:rFonts w:ascii="Arial" w:hAnsi="Arial" w:eastAsia="Arial Unicode MS" w:cs="Arial"/>
      <w:b/>
      <w:bCs/>
      <w:sz w:val="16"/>
      <w:szCs w:val="16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99" w:val="clear"/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sz w:val="16"/>
      <w:szCs w:val="16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99" w:val="clear"/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sz w:val="16"/>
      <w:szCs w:val="16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99" w:val="clear"/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b/>
      <w:bCs/>
      <w:sz w:val="16"/>
      <w:szCs w:val="16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99" w:val="clear"/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sz w:val="16"/>
      <w:szCs w:val="16"/>
      <w:u w:val="single"/>
    </w:rPr>
  </w:style>
  <w:style w:type="paragraph" w:styleId="xl30">
    <w:name w:val="xl30"/>
    <w:basedOn w:val="Normal"/>
    <w:qFormat/>
    <w:pP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emf"/><Relationship Id="rId5" Type="http://schemas.openxmlformats.org/officeDocument/2006/relationships/hyperlink" Target="mailto:PME8@pge.com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2001-09-10T19:34:00Z</dcterms:created>
  <dc:creator>Mark Esguerra</dc:creator>
  <dc:description/>
  <dc:language>en-CA</dc:language>
  <cp:lastModifiedBy>P. Mark Esguerra</cp:lastModifiedBy>
  <cp:lastPrinted>2001-05-21T12:06:00Z</cp:lastPrinted>
  <dcterms:modified xsi:type="dcterms:W3CDTF">2001-09-10T19:34:00Z</dcterms:modified>
  <cp:revision>2</cp:revision>
  <dc:subject/>
  <dc:title>Creates an agenda for any type of meeting</dc:title>
</cp:coreProperties>
</file>