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DRAFT</w:t>
        <w:tab/>
        <w:tab/>
        <w:tab/>
        <w:tab/>
        <w:tab/>
      </w:r>
    </w:p>
    <w:p>
      <w:pPr>
        <w:pStyle w:val="Normal"/>
        <w:rPr/>
      </w:pPr>
      <w:r>
        <w:rPr/>
        <w:tab/>
        <w:tab/>
        <w:tab/>
        <w:tab/>
      </w:r>
      <w:r>
        <w:rPr>
          <w:b/>
        </w:rPr>
        <w:t>Meeting Notes</w:t>
      </w:r>
    </w:p>
    <w:p>
      <w:pPr>
        <w:pStyle w:val="Normal"/>
        <w:rPr>
          <w:b/>
        </w:rPr>
      </w:pPr>
      <w:r>
        <w:rPr>
          <w:b/>
        </w:rPr>
        <w:tab/>
        <w:tab/>
        <w:tab/>
        <w:t>Generation Coordination Group Meeting</w:t>
      </w:r>
    </w:p>
    <w:p>
      <w:pPr>
        <w:pStyle w:val="Normal"/>
        <w:rPr>
          <w:b/>
        </w:rPr>
      </w:pPr>
      <w:r>
        <w:rPr>
          <w:b/>
        </w:rPr>
        <w:tab/>
        <w:tab/>
        <w:tab/>
        <w:tab/>
        <w:t xml:space="preserve">June 14, 2001 </w:t>
      </w:r>
    </w:p>
    <w:p>
      <w:pPr>
        <w:pStyle w:val="Normal"/>
        <w:rPr>
          <w:b/>
        </w:rPr>
      </w:pPr>
      <w:r>
        <w:rPr>
          <w:b/>
        </w:rPr>
        <w:tab/>
        <w:tab/>
        <w:tab/>
        <w:tab/>
        <w:t>EAL Offices</w:t>
      </w:r>
    </w:p>
    <w:p>
      <w:pPr>
        <w:pStyle w:val="Normal"/>
        <w:rPr>
          <w:b/>
        </w:rPr>
      </w:pPr>
      <w:r>
        <w:rPr>
          <w:b/>
        </w:rPr>
        <w:t>Attendees:</w:t>
      </w:r>
    </w:p>
    <w:p>
      <w:pPr>
        <w:pStyle w:val="Normal"/>
        <w:rPr/>
      </w:pPr>
      <w:r>
        <w:rPr/>
        <w:tab/>
        <w:t>Rick Hendrickson</w:t>
        <w:tab/>
        <w:t>Dow</w:t>
      </w:r>
    </w:p>
    <w:p>
      <w:pPr>
        <w:pStyle w:val="Normal"/>
        <w:rPr/>
      </w:pPr>
      <w:r>
        <w:rPr/>
        <w:tab/>
        <w:t>Kris Yadav</w:t>
        <w:tab/>
        <w:tab/>
        <w:t>PanCanadian</w:t>
      </w:r>
    </w:p>
    <w:p>
      <w:pPr>
        <w:pStyle w:val="Normal"/>
        <w:rPr/>
      </w:pPr>
      <w:r>
        <w:rPr/>
        <w:tab/>
        <w:t>Billy Wallace</w:t>
        <w:tab/>
        <w:tab/>
        <w:t>PanCanadian</w:t>
      </w:r>
    </w:p>
    <w:p>
      <w:pPr>
        <w:pStyle w:val="Normal"/>
        <w:rPr/>
      </w:pPr>
      <w:r>
        <w:rPr/>
        <w:tab/>
        <w:t>Peter Karl</w:t>
        <w:tab/>
        <w:tab/>
        <w:t>Engage</w:t>
      </w:r>
    </w:p>
    <w:p>
      <w:pPr>
        <w:pStyle w:val="Normal"/>
        <w:rPr/>
      </w:pPr>
      <w:r>
        <w:rPr/>
        <w:tab/>
        <w:t>Doug Castellino</w:t>
        <w:tab/>
        <w:tab/>
        <w:t>TransCanada</w:t>
      </w:r>
    </w:p>
    <w:p>
      <w:pPr>
        <w:pStyle w:val="Normal"/>
        <w:rPr/>
      </w:pPr>
      <w:r>
        <w:rPr/>
        <w:tab/>
        <w:t>Marvin Mah</w:t>
        <w:tab/>
        <w:tab/>
        <w:t>Enmax</w:t>
      </w:r>
    </w:p>
    <w:p>
      <w:pPr>
        <w:pStyle w:val="Normal"/>
        <w:rPr/>
      </w:pPr>
      <w:r>
        <w:rPr/>
        <w:tab/>
        <w:t>Kris Olsen</w:t>
        <w:tab/>
        <w:tab/>
        <w:t>Enmax</w:t>
      </w:r>
    </w:p>
    <w:p>
      <w:pPr>
        <w:pStyle w:val="Normal"/>
        <w:rPr/>
      </w:pPr>
      <w:r>
        <w:rPr/>
        <w:tab/>
        <w:t>Charles Morgan</w:t>
        <w:tab/>
        <w:tab/>
        <w:t>EPCOR Gen. Inc.</w:t>
      </w:r>
    </w:p>
    <w:p>
      <w:pPr>
        <w:pStyle w:val="Normal"/>
        <w:rPr/>
      </w:pPr>
      <w:r>
        <w:rPr/>
        <w:tab/>
        <w:t>Doug Heath</w:t>
        <w:tab/>
        <w:tab/>
        <w:t>Balancing Pool</w:t>
      </w:r>
    </w:p>
    <w:p>
      <w:pPr>
        <w:pStyle w:val="Normal"/>
        <w:rPr/>
      </w:pPr>
      <w:r>
        <w:rPr/>
        <w:tab/>
        <w:t>Frayne Donaldson</w:t>
        <w:tab/>
        <w:t>ATCO Power</w:t>
      </w:r>
    </w:p>
    <w:p>
      <w:pPr>
        <w:pStyle w:val="Normal"/>
        <w:rPr/>
      </w:pPr>
      <w:r>
        <w:rPr/>
        <w:tab/>
        <w:t>Dan Ruiu</w:t>
        <w:tab/>
        <w:tab/>
        <w:t>Power Pool of Alberta</w:t>
      </w:r>
    </w:p>
    <w:p>
      <w:pPr>
        <w:pStyle w:val="Normal"/>
        <w:rPr/>
      </w:pPr>
      <w:r>
        <w:rPr/>
        <w:tab/>
        <w:t>Dragan Brankovich</w:t>
        <w:tab/>
        <w:t>EAL</w:t>
      </w:r>
    </w:p>
    <w:p>
      <w:pPr>
        <w:pStyle w:val="Normal"/>
        <w:rPr/>
      </w:pPr>
      <w:r>
        <w:rPr/>
        <w:tab/>
        <w:t>Rob Baker</w:t>
        <w:tab/>
        <w:tab/>
        <w:t>EAL</w:t>
      </w:r>
    </w:p>
    <w:p>
      <w:pPr>
        <w:pStyle w:val="Normal"/>
        <w:rPr/>
      </w:pPr>
      <w:r>
        <w:rPr/>
        <w:tab/>
        <w:t>Fred Ritter</w:t>
        <w:tab/>
        <w:tab/>
        <w:t>EAL</w:t>
      </w:r>
    </w:p>
    <w:p>
      <w:pPr>
        <w:pStyle w:val="Normal"/>
        <w:rPr>
          <w:b/>
        </w:rPr>
      </w:pPr>
      <w:r>
        <w:rPr>
          <w:b/>
        </w:rPr>
        <w:t>Teleconference:</w:t>
      </w:r>
    </w:p>
    <w:p>
      <w:pPr>
        <w:pStyle w:val="Normal"/>
        <w:rPr/>
      </w:pPr>
      <w:r>
        <w:rPr/>
        <w:tab/>
        <w:t>Rich Cooper</w:t>
        <w:tab/>
        <w:tab/>
        <w:t>Enron</w:t>
      </w:r>
    </w:p>
    <w:p>
      <w:pPr>
        <w:pStyle w:val="Normal"/>
        <w:rPr/>
      </w:pPr>
      <w:r>
        <w:rPr/>
        <w:tab/>
        <w:t>Kerry Baba</w:t>
        <w:tab/>
        <w:tab/>
        <w:t>CMH</w:t>
      </w:r>
    </w:p>
    <w:p>
      <w:pPr>
        <w:pStyle w:val="Normal"/>
        <w:rPr/>
      </w:pPr>
      <w:r>
        <w:rPr/>
      </w:r>
    </w:p>
    <w:p>
      <w:pPr>
        <w:pStyle w:val="Normal"/>
        <w:rPr>
          <w:b/>
        </w:rPr>
      </w:pPr>
      <w:r>
        <w:rPr>
          <w:b/>
        </w:rPr>
        <w:t>Notes:</w:t>
      </w:r>
    </w:p>
    <w:p>
      <w:pPr>
        <w:pStyle w:val="Normal"/>
        <w:rPr/>
      </w:pPr>
      <w:r>
        <w:rPr/>
        <w:t>The following is intended to supplement the power point presentations made by EAL and the Power Pool of Alberta.  Presentations are attached.   No additions to the agenda were tabled.</w:t>
      </w:r>
    </w:p>
    <w:p>
      <w:pPr>
        <w:pStyle w:val="Normal"/>
        <w:numPr>
          <w:ilvl w:val="0"/>
          <w:numId w:val="5"/>
        </w:numPr>
        <w:rPr>
          <w:b/>
        </w:rPr>
      </w:pPr>
      <w:r>
        <w:rPr>
          <w:b/>
        </w:rPr>
        <w:t>Outage Information:</w:t>
      </w:r>
    </w:p>
    <w:p>
      <w:pPr>
        <w:pStyle w:val="Normal"/>
        <w:numPr>
          <w:ilvl w:val="0"/>
          <w:numId w:val="6"/>
        </w:numPr>
        <w:rPr/>
      </w:pPr>
      <w:r>
        <w:rPr/>
        <w:t xml:space="preserve">EAL thanked parties in regards to the continued sharing of generator outage information. </w:t>
      </w:r>
    </w:p>
    <w:p>
      <w:pPr>
        <w:pStyle w:val="Normal"/>
        <w:numPr>
          <w:ilvl w:val="0"/>
          <w:numId w:val="6"/>
        </w:numPr>
        <w:rPr/>
      </w:pPr>
      <w:r>
        <w:rPr/>
        <w:t xml:space="preserve">The process associated with adequacy forecasting is working reasonably well. </w:t>
      </w:r>
    </w:p>
    <w:p>
      <w:pPr>
        <w:pStyle w:val="Normal"/>
        <w:numPr>
          <w:ilvl w:val="0"/>
          <w:numId w:val="6"/>
        </w:numPr>
        <w:rPr/>
      </w:pPr>
      <w:r>
        <w:rPr/>
        <w:t xml:space="preserve">No major adequacy shortfalls have occurred to date. </w:t>
      </w:r>
    </w:p>
    <w:p>
      <w:pPr>
        <w:pStyle w:val="Normal"/>
        <w:numPr>
          <w:ilvl w:val="0"/>
          <w:numId w:val="6"/>
        </w:numPr>
        <w:rPr/>
      </w:pPr>
      <w:r>
        <w:rPr/>
        <w:t xml:space="preserve">The majority of parties have signed EAL’s confidentiality agreements and all have signed the “posting authorization”. </w:t>
      </w:r>
    </w:p>
    <w:p>
      <w:pPr>
        <w:pStyle w:val="Normal"/>
        <w:numPr>
          <w:ilvl w:val="0"/>
          <w:numId w:val="5"/>
        </w:numPr>
        <w:rPr>
          <w:b/>
        </w:rPr>
      </w:pPr>
      <w:r>
        <w:rPr>
          <w:b/>
        </w:rPr>
        <w:t>Information Gathering Process:</w:t>
      </w:r>
    </w:p>
    <w:p>
      <w:pPr>
        <w:pStyle w:val="Normal"/>
        <w:numPr>
          <w:ilvl w:val="0"/>
          <w:numId w:val="9"/>
        </w:numPr>
        <w:rPr/>
      </w:pPr>
      <w:r>
        <w:rPr/>
        <w:t xml:space="preserve">EAL reviewed its analysis and information management processes regarding generator outage information and adequacy forecasting. </w:t>
      </w:r>
    </w:p>
    <w:p>
      <w:pPr>
        <w:pStyle w:val="Normal"/>
        <w:numPr>
          <w:ilvl w:val="0"/>
          <w:numId w:val="9"/>
        </w:numPr>
        <w:rPr/>
      </w:pPr>
      <w:r>
        <w:rPr/>
        <w:t xml:space="preserve">EAL requested parties confirm their point-of-connect regarding information enquiry’s associated with generator outage information. </w:t>
      </w:r>
    </w:p>
    <w:p>
      <w:pPr>
        <w:pStyle w:val="Normal"/>
        <w:ind w:start="360" w:end="0"/>
        <w:rPr/>
      </w:pPr>
      <w:r>
        <w:rPr>
          <w:b/>
        </w:rPr>
        <w:t>Action:</w:t>
      </w:r>
      <w:r>
        <w:rPr/>
        <w:t xml:space="preserve"> All generators and PPA Buyers</w:t>
      </w:r>
    </w:p>
    <w:p>
      <w:pPr>
        <w:pStyle w:val="Normal"/>
        <w:numPr>
          <w:ilvl w:val="0"/>
          <w:numId w:val="5"/>
        </w:numPr>
        <w:rPr>
          <w:b/>
        </w:rPr>
      </w:pPr>
      <w:r>
        <w:rPr>
          <w:b/>
        </w:rPr>
        <w:t>Utility of Information:</w:t>
      </w:r>
    </w:p>
    <w:p>
      <w:pPr>
        <w:pStyle w:val="Normal"/>
        <w:numPr>
          <w:ilvl w:val="0"/>
          <w:numId w:val="2"/>
        </w:numPr>
        <w:rPr/>
      </w:pPr>
      <w:r>
        <w:rPr/>
        <w:t xml:space="preserve">Generators and PPA Buyers indicated that the information being published by EAL is useful and is being used on a regular basis in planning generator maintenance outages. </w:t>
      </w:r>
    </w:p>
    <w:p>
      <w:pPr>
        <w:pStyle w:val="Normal"/>
        <w:numPr>
          <w:ilvl w:val="0"/>
          <w:numId w:val="2"/>
        </w:numPr>
        <w:rPr/>
      </w:pPr>
      <w:r>
        <w:rPr/>
        <w:t xml:space="preserve">One party requested that the TA consider publishing the specific dates associated with forecast pinch points. A number of other parties would not support this approach at this time and indicated that the graphs provided sufficient information. </w:t>
      </w:r>
    </w:p>
    <w:p>
      <w:pPr>
        <w:pStyle w:val="Normal"/>
        <w:numPr>
          <w:ilvl w:val="0"/>
          <w:numId w:val="2"/>
        </w:numPr>
        <w:rPr/>
      </w:pPr>
      <w:r>
        <w:rPr/>
        <w:t xml:space="preserve">Some suggested publishing a 30-day forecast in addition to the existing forecasts in order to provide greater granularity in the forecasts. There was some comment that it is difficult to identify specific dates on the graphs due to the scale being used. EAL will review this and offer some proposals at the next meeting. </w:t>
      </w:r>
    </w:p>
    <w:p>
      <w:pPr>
        <w:pStyle w:val="Normal"/>
        <w:numPr>
          <w:ilvl w:val="0"/>
          <w:numId w:val="2"/>
        </w:numPr>
        <w:rPr/>
      </w:pPr>
      <w:r>
        <w:rPr/>
        <w:t xml:space="preserve">The issue regarding the publishing of pinch point dates will be tabled until the next meeting.  </w:t>
      </w:r>
    </w:p>
    <w:p>
      <w:pPr>
        <w:pStyle w:val="Normal"/>
        <w:ind w:firstLine="720" w:end="0"/>
        <w:rPr/>
      </w:pPr>
      <w:r>
        <w:rPr>
          <w:b/>
        </w:rPr>
        <w:t>Action</w:t>
      </w:r>
      <w:r>
        <w:rPr/>
        <w:t>: EAL</w:t>
      </w:r>
    </w:p>
    <w:p>
      <w:pPr>
        <w:pStyle w:val="Normal"/>
        <w:numPr>
          <w:ilvl w:val="0"/>
          <w:numId w:val="2"/>
        </w:numPr>
        <w:rPr/>
      </w:pPr>
      <w:r>
        <w:rPr/>
        <w:t>A question was raised as to the TA’s policy regarding curtailment of generation output for transmission constraints. EAL indicated that the curtailment priority would firstly involve curtailment of generation exceeding its STS contract levels. Following this, and all generation being below the contracted STS levels, the curtailment would be on a pro-rata basis. The Power Pool indicated support for this approach as well.</w:t>
      </w:r>
    </w:p>
    <w:p>
      <w:pPr>
        <w:pStyle w:val="Normal"/>
        <w:numPr>
          <w:ilvl w:val="0"/>
          <w:numId w:val="4"/>
        </w:numPr>
        <w:rPr/>
      </w:pPr>
      <w:r>
        <w:rPr/>
        <w:t>Some discussion took place regarding enquiry’s EAL has received in connection with the publishing of the actual numeric values for the individual curves on the adequacy graphs. There was strong opposition to publishing such information at this time. On that basis no further action will be taken in this regard but the issue will be revisited in about 6 months.</w:t>
      </w:r>
    </w:p>
    <w:p>
      <w:pPr>
        <w:pStyle w:val="Normal"/>
        <w:numPr>
          <w:ilvl w:val="0"/>
          <w:numId w:val="4"/>
        </w:numPr>
        <w:rPr/>
      </w:pPr>
      <w:r>
        <w:rPr/>
        <w:t>One party requested clarification regarding the reporting of generator outages. EAL indicated that only forced or planned maintenance outages should be reported. Outages for economic reasons need not be reported to the TA.</w:t>
      </w:r>
    </w:p>
    <w:p>
      <w:pPr>
        <w:pStyle w:val="Normal"/>
        <w:numPr>
          <w:ilvl w:val="0"/>
          <w:numId w:val="5"/>
        </w:numPr>
        <w:rPr>
          <w:b/>
        </w:rPr>
      </w:pPr>
      <w:r>
        <w:rPr>
          <w:b/>
        </w:rPr>
        <w:t>Reporting Plans:</w:t>
      </w:r>
    </w:p>
    <w:p>
      <w:pPr>
        <w:pStyle w:val="Normal"/>
        <w:numPr>
          <w:ilvl w:val="0"/>
          <w:numId w:val="3"/>
        </w:numPr>
        <w:rPr/>
      </w:pPr>
      <w:r>
        <w:rPr/>
        <w:t xml:space="preserve">EAL requested parties support for a web based interface for reporting outage plans. Based on the positive response and support received, EAL will pursue this initiative. Parties requested that such an interface and reporting also allow access by the Power Pool so as to avoid duplicate reporting.  </w:t>
      </w:r>
    </w:p>
    <w:p>
      <w:pPr>
        <w:pStyle w:val="Normal"/>
        <w:ind w:firstLine="720" w:end="0"/>
        <w:rPr/>
      </w:pPr>
      <w:r>
        <w:rPr>
          <w:b/>
        </w:rPr>
        <w:t>Action</w:t>
      </w:r>
      <w:r>
        <w:rPr/>
        <w:t>: EAL</w:t>
      </w:r>
    </w:p>
    <w:p>
      <w:pPr>
        <w:pStyle w:val="Normal"/>
        <w:numPr>
          <w:ilvl w:val="0"/>
          <w:numId w:val="7"/>
        </w:numPr>
        <w:rPr/>
      </w:pPr>
      <w:r>
        <w:rPr/>
        <w:t xml:space="preserve">EAL proposed eliminating the 800 MW import graph due to the unrealistic nature of such a forecast. Following some discussion on this matter, it was agreed that the adequacy projections take into account the ATC levels on the interconnections. This would be consistent with the generator availability reporting on the basis that the MCR value of the generator is considered despite the generator output varying for economic reasons. EAL will review and modify the 800 MW import graph to take into account the ATC.  </w:t>
      </w:r>
    </w:p>
    <w:p>
      <w:pPr>
        <w:pStyle w:val="Normal"/>
        <w:ind w:firstLine="720" w:end="0"/>
        <w:rPr/>
      </w:pPr>
      <w:r>
        <w:rPr>
          <w:b/>
        </w:rPr>
        <w:t>Action:</w:t>
      </w:r>
      <w:r>
        <w:rPr/>
        <w:t xml:space="preserve">  EAL</w:t>
      </w:r>
    </w:p>
    <w:p>
      <w:pPr>
        <w:pStyle w:val="Normal"/>
        <w:numPr>
          <w:ilvl w:val="0"/>
          <w:numId w:val="5"/>
        </w:numPr>
        <w:rPr/>
      </w:pPr>
      <w:r>
        <w:rPr>
          <w:b/>
        </w:rPr>
        <w:t>The System Controller</w:t>
      </w:r>
      <w:r>
        <w:rPr/>
        <w:t xml:space="preserve"> provided an outline of the procedures that will be followed with respect to requests for changes to generator outage plans in the event of an energy shortfall forecasts.</w:t>
      </w:r>
    </w:p>
    <w:p>
      <w:pPr>
        <w:pStyle w:val="Normal"/>
        <w:numPr>
          <w:ilvl w:val="0"/>
          <w:numId w:val="5"/>
        </w:numPr>
        <w:rPr/>
      </w:pPr>
      <w:r>
        <w:rPr>
          <w:b/>
        </w:rPr>
        <w:t>Future Issues and Actions</w:t>
      </w:r>
      <w:r>
        <w:rPr/>
        <w:t>:</w:t>
      </w:r>
    </w:p>
    <w:p>
      <w:pPr>
        <w:pStyle w:val="Normal"/>
        <w:numPr>
          <w:ilvl w:val="0"/>
          <w:numId w:val="10"/>
        </w:numPr>
        <w:rPr/>
      </w:pPr>
      <w:r>
        <w:rPr/>
        <w:t xml:space="preserve">EAL requested generators and PPA Buyers begin to think about next years maintenance plans with the view to provide the TA with the plans by no later than October 1, 2001. It would be useful to the TA to also receive any information regarding the flexibility available in any particular schedule.   </w:t>
      </w:r>
    </w:p>
    <w:p>
      <w:pPr>
        <w:pStyle w:val="Normal"/>
        <w:ind w:firstLine="720" w:end="0"/>
        <w:rPr/>
      </w:pPr>
      <w:r>
        <w:rPr>
          <w:b/>
        </w:rPr>
        <w:t>Action</w:t>
      </w:r>
      <w:r>
        <w:rPr/>
        <w:t>: PPA Buyers and Generators</w:t>
      </w:r>
    </w:p>
    <w:p>
      <w:pPr>
        <w:pStyle w:val="Normal"/>
        <w:numPr>
          <w:ilvl w:val="0"/>
          <w:numId w:val="8"/>
        </w:numPr>
        <w:rPr/>
      </w:pPr>
      <w:r>
        <w:rPr/>
        <w:t xml:space="preserve">EAL indicated a desire to collect generator performance data in the future. The data would be valuable in improving the adequacy forecasts and as well in probabilistic system planning. Parties indicated that this data is already being requested by the MSA.  EAL will prepare a more detailed description of its requirements before making specific requests.  </w:t>
      </w:r>
    </w:p>
    <w:p>
      <w:pPr>
        <w:pStyle w:val="Normal"/>
        <w:ind w:firstLine="720" w:end="0"/>
        <w:rPr/>
      </w:pPr>
      <w:r>
        <w:rPr>
          <w:b/>
        </w:rPr>
        <w:t>Action</w:t>
      </w:r>
      <w:r>
        <w:rPr/>
        <w:t xml:space="preserve">:  EAL </w:t>
      </w:r>
    </w:p>
    <w:p>
      <w:pPr>
        <w:pStyle w:val="Normal"/>
        <w:numPr>
          <w:ilvl w:val="0"/>
          <w:numId w:val="8"/>
        </w:numPr>
        <w:rPr/>
      </w:pPr>
      <w:r>
        <w:rPr/>
        <w:t>Black start plans - to be addressed in the next 6 months and will be tied to policy development.</w:t>
      </w:r>
    </w:p>
    <w:p>
      <w:pPr>
        <w:pStyle w:val="Normal"/>
        <w:rPr/>
      </w:pPr>
      <w:r>
        <w:rPr/>
      </w:r>
    </w:p>
    <w:p>
      <w:pPr>
        <w:pStyle w:val="Normal"/>
        <w:rPr/>
      </w:pPr>
      <w:r>
        <w:rPr/>
        <w:t xml:space="preserve">7. </w:t>
      </w:r>
      <w:r>
        <w:rPr>
          <w:b/>
        </w:rPr>
        <w:t>The next meeting</w:t>
      </w:r>
      <w:r>
        <w:rPr/>
        <w:t xml:space="preserve"> will be scheduled for the September/October 2001 timeframe.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2001-06-16T13:59:00Z</dcterms:created>
  <dc:creator>FRitter</dc:creator>
  <dc:description/>
  <dc:language>en-CA</dc:language>
  <cp:lastModifiedBy>FRitter</cp:lastModifiedBy>
  <cp:lastPrinted>2001-06-15T16:33:00Z</cp:lastPrinted>
  <dcterms:modified xsi:type="dcterms:W3CDTF">2001-06-16T13:59:00Z</dcterms:modified>
  <cp:revision>2</cp:revision>
  <dc:subject/>
  <dc:title>DRAFT</dc:title>
</cp:coreProperties>
</file>