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widowControl/>
        <w:jc w:val="center"/>
        <w:rPr/>
      </w:pPr>
      <w:r>
        <w:rPr/>
        <w:t>UNITED STATES OF AMERICA</w:t>
      </w:r>
    </w:p>
    <w:p>
      <w:pPr>
        <w:pStyle w:val="Normal"/>
        <w:widowControl/>
        <w:jc w:val="center"/>
        <w:rPr/>
      </w:pPr>
      <w:r>
        <w:rPr/>
        <w:t>U.S. DEPARTMENT OF ENERGY</w:t>
      </w:r>
    </w:p>
    <w:p>
      <w:pPr>
        <w:pStyle w:val="Normal"/>
        <w:widowControl/>
        <w:jc w:val="center"/>
        <w:rPr/>
      </w:pPr>
      <w:r>
        <w:rPr/>
        <w:t>BEFORE THE</w:t>
      </w:r>
    </w:p>
    <w:p>
      <w:pPr>
        <w:pStyle w:val="Normal"/>
        <w:widowControl/>
        <w:jc w:val="center"/>
        <w:rPr/>
      </w:pPr>
      <w:r>
        <w:rPr/>
        <w:t>BONNEVILLE POWER ADMINISTRATION</w:t>
      </w:r>
    </w:p>
    <w:p>
      <w:pPr>
        <w:pStyle w:val="Normal"/>
        <w:widowControl/>
        <w:jc w:val="center"/>
        <w:rPr/>
      </w:pPr>
      <w:r>
        <w:rPr/>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5148"/>
        <w:gridCol w:w="540"/>
        <w:gridCol w:w="3888"/>
      </w:tblGrid>
      <w:tr>
        <w:trPr/>
        <w:tc>
          <w:tcPr>
            <w:tcW w:w="5148" w:type="dxa"/>
            <w:tcBorders/>
          </w:tcPr>
          <w:p>
            <w:pPr>
              <w:pStyle w:val="Normal"/>
              <w:widowControl/>
              <w:jc w:val="both"/>
              <w:rPr/>
            </w:pPr>
            <w:r>
              <w:rPr/>
              <w:t>BPA 2002 Wholesale Power Rate Adjustment</w:t>
            </w:r>
          </w:p>
          <w:p>
            <w:pPr>
              <w:pStyle w:val="Normal"/>
              <w:widowControl/>
              <w:jc w:val="both"/>
              <w:rPr/>
            </w:pPr>
            <w:r>
              <w:rPr/>
              <w:t>Proceeding</w:t>
            </w:r>
          </w:p>
        </w:tc>
        <w:tc>
          <w:tcPr>
            <w:tcW w:w="540" w:type="dxa"/>
            <w:tcBorders/>
          </w:tcPr>
          <w:p>
            <w:pPr>
              <w:pStyle w:val="Normal"/>
              <w:widowControl/>
              <w:jc w:val="both"/>
              <w:rPr/>
            </w:pPr>
            <w:r>
              <w:rPr/>
              <w:t>)</w:t>
            </w:r>
          </w:p>
          <w:p>
            <w:pPr>
              <w:pStyle w:val="Normal"/>
              <w:widowControl/>
              <w:jc w:val="both"/>
              <w:rPr/>
            </w:pPr>
            <w:r>
              <w:rPr/>
              <w:t>)</w:t>
            </w:r>
          </w:p>
          <w:p>
            <w:pPr>
              <w:pStyle w:val="Normal"/>
              <w:widowControl/>
              <w:jc w:val="both"/>
              <w:rPr/>
            </w:pPr>
            <w:r>
              <w:rPr/>
            </w:r>
          </w:p>
        </w:tc>
        <w:tc>
          <w:tcPr>
            <w:tcW w:w="3888" w:type="dxa"/>
            <w:tcBorders/>
          </w:tcPr>
          <w:p>
            <w:pPr>
              <w:pStyle w:val="Normal"/>
              <w:widowControl/>
              <w:jc w:val="both"/>
              <w:rPr/>
            </w:pPr>
            <w:r>
              <w:rPr/>
              <w:t>BPA File No. WP-02</w:t>
            </w:r>
          </w:p>
        </w:tc>
      </w:tr>
    </w:tbl>
    <w:p>
      <w:pPr>
        <w:pStyle w:val="Normal"/>
        <w:widowControl/>
        <w:jc w:val="center"/>
        <w:rPr>
          <w:b/>
        </w:rPr>
      </w:pPr>
      <w:r>
        <w:rPr>
          <w:b/>
        </w:rPr>
      </w:r>
    </w:p>
    <w:p>
      <w:pPr>
        <w:pStyle w:val="Normal"/>
        <w:widowControl/>
        <w:jc w:val="center"/>
        <w:rPr>
          <w:b/>
        </w:rPr>
      </w:pPr>
      <w:r>
        <w:rPr>
          <w:b/>
        </w:rPr>
        <w:t>MOTION TO STRIKE OR REJECT UNAUTHORIZED PLEADING</w:t>
      </w:r>
    </w:p>
    <w:p>
      <w:pPr>
        <w:pStyle w:val="Normal"/>
        <w:widowControl/>
        <w:jc w:val="center"/>
        <w:rPr>
          <w:b/>
        </w:rPr>
      </w:pPr>
      <w:r>
        <w:rPr>
          <w:b/>
        </w:rPr>
        <w:t>FILED BY THE DSIs AND ALCOA</w:t>
      </w:r>
    </w:p>
    <w:p>
      <w:pPr>
        <w:pStyle w:val="Normal"/>
        <w:widowControl/>
        <w:jc w:val="center"/>
        <w:rPr/>
      </w:pPr>
      <w:r>
        <w:rPr/>
        <w:t>________________________________________________________________</w:t>
      </w:r>
    </w:p>
    <w:p>
      <w:pPr>
        <w:pStyle w:val="Normal"/>
        <w:widowControl/>
        <w:jc w:val="both"/>
        <w:rPr/>
      </w:pPr>
      <w:r>
        <w:rPr/>
      </w:r>
    </w:p>
    <w:p>
      <w:pPr>
        <w:pStyle w:val="Normal"/>
        <w:widowControl/>
        <w:spacing w:lineRule="auto" w:line="480"/>
        <w:jc w:val="both"/>
        <w:rPr/>
      </w:pPr>
      <w:r>
        <w:rPr/>
        <w:tab/>
        <w:t xml:space="preserve">On April 11, 2001, the DSIs filed a pleading captioned “Reply in Support of the Motion of the DSIs and Alcoa for an Evidentiary Hearing Concerning Wholesale Violations of the Rule Against </w:t>
      </w:r>
      <w:r>
        <w:rPr>
          <w:i/>
        </w:rPr>
        <w:t>Ex Parte</w:t>
      </w:r>
      <w:r>
        <w:rPr/>
        <w:t xml:space="preserve"> Communications, or for Alternative Relief, and Response to the Motion of the Canby Utility Board for an Expanded Evidentiary Hearing, Etc.”  The Market Access Coalition (“MAC”) and Portland General Electric (“PGE”) hereby request the Hearing Officer to strike or reject the DSI reply.</w:t>
      </w:r>
    </w:p>
    <w:p>
      <w:pPr>
        <w:pStyle w:val="Normal"/>
        <w:widowControl/>
        <w:spacing w:lineRule="auto" w:line="480"/>
        <w:jc w:val="both"/>
        <w:rPr/>
      </w:pPr>
      <w:r>
        <w:rPr/>
        <w:tab/>
        <w:t xml:space="preserve">The DSI reply answers certain pleadings filed by MAC, PGE, BPA and several other parties on April 9, 2001, in answer to a motion filed by ATOFINA Chemicals, Inc., </w:t>
      </w:r>
      <w:r>
        <w:rPr>
          <w:u w:val="single"/>
        </w:rPr>
        <w:t>et</w:t>
      </w:r>
      <w:r>
        <w:rPr/>
        <w:t xml:space="preserve"> </w:t>
      </w:r>
      <w:r>
        <w:rPr>
          <w:u w:val="single"/>
        </w:rPr>
        <w:t>al</w:t>
      </w:r>
      <w:r>
        <w:rPr/>
        <w:t>., on April 3, 2001. Such answers to answers are prohibited in this proceeding.  By order of November 5, 1999, the Hearing Officer specifically ruled that: “[t]he Special Rules of Practices adopted in this proceeding (WP-02-01-01) do not provide for the filing of an answer to an answer.”  The DSI reply is not accompanied by any request for permission to file an unauthorized pleading.  Absent any purported showing of good cause, the rule announced in the November 5th order prohibits the DSI reply.  The pleading should, therefore, be stricken or rejected.</w:t>
      </w:r>
    </w:p>
    <w:p>
      <w:pPr>
        <w:pStyle w:val="Normal"/>
        <w:widowControl/>
        <w:spacing w:lineRule="auto" w:line="480"/>
        <w:ind w:firstLine="720" w:end="0"/>
        <w:jc w:val="both"/>
        <w:rPr/>
      </w:pPr>
      <w:r>
        <w:rPr/>
        <w:t>The last few pages of the DSI reply (specifically pp. 9-12) purport to answer the motion of the Canby Utility Board, requesting an evidentiary investigation of systematic and repeated violations of the ex parte rules by the DSIs and their lobbyists in Washington, D.C.  Although mislabeled by the DSIs, that portion of the pleading appears to be authorized by the procedural rules.  At her discretion, the Hearing Officer may wish to accept pp. 9-12 of the DSI reply, and only those pages, as a properly filed pleading.</w:t>
      </w:r>
    </w:p>
    <w:p>
      <w:pPr>
        <w:pStyle w:val="Normal"/>
        <w:widowControl/>
        <w:ind w:firstLine="720" w:end="0"/>
        <w:jc w:val="both"/>
        <w:rPr/>
      </w:pPr>
      <w:r>
        <w:rPr/>
        <w:t>DATED this 11</w:t>
      </w:r>
      <w:r>
        <w:rPr>
          <w:vertAlign w:val="superscript"/>
        </w:rPr>
        <w:t>th</w:t>
      </w:r>
      <w:r>
        <w:rPr/>
        <w:t xml:space="preserve"> day of April, 2001.</w:t>
      </w:r>
    </w:p>
    <w:p>
      <w:pPr>
        <w:pStyle w:val="Normal"/>
        <w:widowControl/>
        <w:jc w:val="both"/>
        <w:rPr/>
      </w:pPr>
      <w:r>
        <w:rPr/>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DWTNorm"/>
              <w:ind w:hanging="0" w:end="0"/>
              <w:jc w:val="both"/>
              <w:rPr/>
            </w:pPr>
            <w:r>
              <w:rPr/>
              <w:t>Respectfully submitted,</w:t>
            </w:r>
          </w:p>
          <w:p>
            <w:pPr>
              <w:pStyle w:val="DWTNorm"/>
              <w:ind w:hanging="0" w:end="0"/>
              <w:jc w:val="both"/>
              <w:rPr/>
            </w:pPr>
            <w:r>
              <w:rPr/>
            </w:r>
          </w:p>
          <w:p>
            <w:pPr>
              <w:pStyle w:val="DWTNorm"/>
              <w:spacing w:before="0" w:after="0"/>
              <w:ind w:hanging="0" w:end="0"/>
              <w:jc w:val="both"/>
              <w:rPr/>
            </w:pPr>
            <w:r>
              <w:rPr/>
              <w:t>_____________________________</w:t>
            </w:r>
          </w:p>
          <w:p>
            <w:pPr>
              <w:pStyle w:val="DWTNorm"/>
              <w:spacing w:before="0" w:after="0"/>
              <w:ind w:hanging="0" w:end="0"/>
              <w:jc w:val="both"/>
              <w:rPr/>
            </w:pPr>
            <w:r>
              <w:rPr/>
              <w:t>John A. Cameron</w:t>
            </w:r>
          </w:p>
          <w:p>
            <w:pPr>
              <w:pStyle w:val="DWTNorm"/>
              <w:spacing w:before="0" w:after="0"/>
              <w:ind w:hanging="0" w:end="0"/>
              <w:jc w:val="both"/>
              <w:rPr/>
            </w:pPr>
            <w:r>
              <w:rPr/>
              <w:t>Traci Grundon Kirkpatrick</w:t>
            </w:r>
          </w:p>
          <w:p>
            <w:pPr>
              <w:pStyle w:val="DWTNorm"/>
              <w:spacing w:before="0" w:after="0"/>
              <w:ind w:hanging="0" w:end="0"/>
              <w:jc w:val="both"/>
              <w:rPr/>
            </w:pPr>
            <w:r>
              <w:rPr/>
              <w:t>Davis Wright Tremaine</w:t>
            </w:r>
          </w:p>
          <w:p>
            <w:pPr>
              <w:pStyle w:val="DWTNorm"/>
              <w:spacing w:before="0" w:after="240"/>
              <w:ind w:hanging="0" w:end="0"/>
              <w:jc w:val="both"/>
              <w:rPr/>
            </w:pPr>
            <w:r>
              <w:rPr/>
              <w:t>Attorneys for the Market Access Coalition</w:t>
            </w:r>
          </w:p>
        </w:tc>
      </w:tr>
    </w:tbl>
    <w:p>
      <w:pPr>
        <w:pStyle w:val="Normal"/>
        <w:widowControl/>
        <w:jc w:val="both"/>
        <w:rPr/>
      </w:pPr>
      <w:r>
        <w:rPr/>
      </w:r>
    </w:p>
    <w:p>
      <w:pPr>
        <w:pStyle w:val="Normal"/>
        <w:widowControl/>
        <w:jc w:val="both"/>
        <w:rPr/>
      </w:pPr>
      <w:r>
        <w:rPr/>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DWTNorm"/>
              <w:ind w:hanging="0" w:end="0"/>
              <w:jc w:val="both"/>
              <w:rPr/>
            </w:pPr>
            <w:r>
              <w:rPr/>
              <w:t>Respectfully submitted,</w:t>
            </w:r>
          </w:p>
          <w:p>
            <w:pPr>
              <w:pStyle w:val="DWTNorm"/>
              <w:ind w:hanging="0" w:end="0"/>
              <w:jc w:val="both"/>
              <w:rPr/>
            </w:pPr>
            <w:r>
              <w:rPr/>
            </w:r>
          </w:p>
          <w:p>
            <w:pPr>
              <w:pStyle w:val="DWTNorm"/>
              <w:spacing w:before="0" w:after="0"/>
              <w:ind w:hanging="0" w:end="0"/>
              <w:jc w:val="both"/>
              <w:rPr/>
            </w:pPr>
            <w:r>
              <w:rPr/>
              <w:t>_____________________________</w:t>
            </w:r>
          </w:p>
          <w:p>
            <w:pPr>
              <w:pStyle w:val="DWTNorm"/>
              <w:spacing w:before="0" w:after="0"/>
              <w:ind w:hanging="0" w:end="0"/>
              <w:jc w:val="both"/>
              <w:rPr/>
            </w:pPr>
            <w:r>
              <w:rPr/>
              <w:t>Darcy M. Norville</w:t>
            </w:r>
          </w:p>
          <w:p>
            <w:pPr>
              <w:pStyle w:val="DWTNorm"/>
              <w:spacing w:before="0" w:after="0"/>
              <w:ind w:hanging="0" w:end="0"/>
              <w:jc w:val="both"/>
              <w:rPr/>
            </w:pPr>
            <w:r>
              <w:rPr/>
              <w:t>Tonkon Torp LLP</w:t>
            </w:r>
          </w:p>
          <w:p>
            <w:pPr>
              <w:pStyle w:val="DWTNorm"/>
              <w:spacing w:before="0" w:after="240"/>
              <w:ind w:hanging="0" w:end="0"/>
              <w:jc w:val="both"/>
              <w:rPr/>
            </w:pPr>
            <w:r>
              <w:rPr/>
              <w:t>Of Attorneys for Portland General Electric</w:t>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z w:val="16"/>
        </w:rPr>
      </w:pPr>
      <w:r>
        <w:rPr>
          <w:sz w:val="16"/>
        </w:rPr>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CERTIFICATE OF SERVICE</w:t>
      </w:r>
    </w:p>
    <w:p>
      <w:pPr>
        <w:pStyle w:val="Normal"/>
        <w:jc w:val="center"/>
        <w:rPr/>
      </w:pPr>
      <w:r>
        <w:rPr/>
      </w:r>
    </w:p>
    <w:p>
      <w:pPr>
        <w:pStyle w:val="Normal"/>
        <w:rPr/>
      </w:pPr>
      <w:r>
        <w:rPr/>
      </w:r>
    </w:p>
    <w:p>
      <w:pPr>
        <w:pStyle w:val="Normal"/>
        <w:ind w:start="720" w:end="720"/>
        <w:rPr>
          <w:b/>
        </w:rPr>
      </w:pPr>
      <w:r>
        <w:rPr/>
        <w:tab/>
        <w:t>I hereby certify on the 12</w:t>
      </w:r>
      <w:r>
        <w:rPr>
          <w:vertAlign w:val="superscript"/>
        </w:rPr>
        <w:t>th</w:t>
      </w:r>
      <w:r>
        <w:rPr/>
        <w:t xml:space="preserve"> day of April, 2001, I served upon each person designated on the official service list, either electronically or by U.S. Mail, a full, true and correct copy of the Motion to Strike or Reject Unauthorized Pleading filed by the DSIs and ALCOA.</w:t>
      </w:r>
    </w:p>
    <w:p>
      <w:pPr>
        <w:pStyle w:val="Normal"/>
        <w:ind w:start="720" w:end="720"/>
        <w:rPr>
          <w:b/>
        </w:rPr>
      </w:pPr>
      <w:r>
        <w:rPr>
          <w:b/>
        </w:rPr>
      </w:r>
    </w:p>
    <w:p>
      <w:pPr>
        <w:pStyle w:val="Normal"/>
        <w:ind w:start="720" w:end="720"/>
        <w:rPr/>
      </w:pPr>
      <w:r>
        <w:rPr/>
      </w:r>
    </w:p>
    <w:p>
      <w:pPr>
        <w:pStyle w:val="Normal"/>
        <w:ind w:start="720" w:end="720"/>
        <w:rPr/>
      </w:pPr>
      <w:r>
        <w:rPr/>
      </w:r>
    </w:p>
    <w:p>
      <w:pPr>
        <w:pStyle w:val="Normal"/>
        <w:ind w:start="720" w:end="720"/>
        <w:rPr/>
      </w:pPr>
      <w:r>
        <w:rPr/>
        <w:tab/>
        <w:tab/>
        <w:tab/>
        <w:tab/>
        <w:tab/>
        <w:t>______________________________</w:t>
      </w:r>
    </w:p>
    <w:p>
      <w:pPr>
        <w:pStyle w:val="DWTNorm"/>
        <w:spacing w:before="0" w:after="0"/>
        <w:ind w:hanging="0" w:end="0"/>
        <w:jc w:val="both"/>
        <w:rPr/>
      </w:pPr>
      <w:r>
        <w:rPr/>
        <w:tab/>
        <w:tab/>
        <w:tab/>
        <w:tab/>
        <w:tab/>
        <w:tab/>
        <w:t>John A. Cameron</w:t>
      </w:r>
    </w:p>
    <w:p>
      <w:pPr>
        <w:pStyle w:val="DWTNorm"/>
        <w:spacing w:before="0" w:after="0"/>
        <w:ind w:start="3600" w:end="0"/>
        <w:jc w:val="both"/>
        <w:rPr/>
      </w:pPr>
      <w:r>
        <w:rPr/>
        <w:t>Traci Grundon Kirkpatrick</w:t>
      </w:r>
    </w:p>
    <w:p>
      <w:pPr>
        <w:pStyle w:val="DWTNorm"/>
        <w:spacing w:before="0" w:after="0"/>
        <w:ind w:start="3600" w:end="0"/>
        <w:jc w:val="both"/>
        <w:rPr/>
      </w:pPr>
      <w:r>
        <w:rPr/>
        <w:t>Davis Wright Tremaine</w:t>
      </w:r>
    </w:p>
    <w:p>
      <w:pPr>
        <w:pStyle w:val="Normal"/>
        <w:rPr/>
      </w:pPr>
      <w:r>
        <w:rPr/>
      </w:r>
    </w:p>
    <w:p>
      <w:pPr>
        <w:pStyle w:val="Normal"/>
        <w:widowContro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50" w:leader="none"/>
        <w:tab w:val="right" w:pos="9360" w:leader="none"/>
      </w:tabs>
      <w:spacing w:before="200" w:after="0"/>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r>
      <w:rPr>
        <w:rStyle w:val="PageNumber"/>
        <w:sz w:val="20"/>
      </w:rPr>
      <w:t xml:space="preserve">MOTION TO STRIKE OR REJECT UNAUTHORIZED PLEADINGS OF DSIs  </w:t>
      <w:tab/>
      <w:t>WP-02-M-___</w:t>
    </w:r>
  </w:p>
  <w:p>
    <w:pPr>
      <w:pStyle w:val="Normal"/>
      <w:tabs>
        <w:tab w:val="clear" w:pos="720"/>
        <w:tab w:val="left" w:pos="450" w:leader="none"/>
      </w:tabs>
      <w:rPr/>
    </w:pPr>
    <w:r>
      <w:rPr>
        <w:rStyle w:val="PageNumber"/>
        <w:sz w:val="20"/>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caps/>
        <w:sz w:val="24"/>
        <w:i w:val="false"/>
        <w:u w:val="none"/>
        <w:b w:val="false"/>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sz w:val="24"/>
        <w:i w:val="false"/>
        <w:u w:val="none"/>
        <w:b w:val="false"/>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sz w:val="24"/>
        <w:i w:val="false"/>
        <w:u w:val="none"/>
        <w:b w:val="false"/>
        <w:rFonts w:ascii="Times New Roman" w:hAnsi="Times New Roman" w:cs="Times New Roman"/>
        <w:color w:val="000000"/>
      </w:rPr>
    </w:lvl>
    <w:lvl w:ilvl="3">
      <w:start w:val="1"/>
      <w:numFmt w:val="decimal"/>
      <w:lvlText w:val="%1.%2"/>
      <w:lvlJc w:val="start"/>
      <w:pPr>
        <w:tabs>
          <w:tab w:val="num" w:pos="2880"/>
        </w:tabs>
        <w:ind w:start="2880" w:hanging="720"/>
      </w:pPr>
      <w:rPr>
        <w:smallCaps w:val="false"/>
        <w:caps w:val="false"/>
        <w:sz w:val="24"/>
        <w:i w:val="false"/>
        <w:u w:val="none"/>
        <w:b w:val="false"/>
        <w:rFonts w:ascii="Times New Roman" w:hAnsi="Times New Roman" w:cs="Times New Roman"/>
        <w:color w:val="000000"/>
      </w:rPr>
    </w:lvl>
    <w:lvl w:ilvl="4">
      <w:start w:val="1"/>
      <w:numFmt w:val="lowerLetter"/>
      <w:lvlText w:val="(%5)"/>
      <w:lvlJc w:val="start"/>
      <w:pPr>
        <w:tabs>
          <w:tab w:val="num" w:pos="3600"/>
        </w:tabs>
        <w:ind w:start="3600" w:hanging="720"/>
      </w:pPr>
      <w:rPr>
        <w:smallCaps w:val="false"/>
        <w:caps w:val="false"/>
        <w:sz w:val="24"/>
        <w:i w:val="false"/>
        <w:u w:val="none"/>
        <w:b w:val="false"/>
        <w:rFonts w:ascii="Times New Roman" w:hAnsi="Times New Roman" w:cs="Times New Roman"/>
        <w:color w:val="000000"/>
      </w:rPr>
    </w:lvl>
    <w:lvl w:ilvl="5">
      <w:start w:val="1"/>
      <w:numFmt w:val="lowerRoman"/>
      <w:lvlText w:val="(%6)"/>
      <w:lvlJc w:val="start"/>
      <w:pPr>
        <w:tabs>
          <w:tab w:val="num" w:pos="4320"/>
        </w:tabs>
        <w:ind w:start="4320" w:hanging="720"/>
      </w:pPr>
      <w:rPr>
        <w:smallCaps w:val="false"/>
        <w:caps w:val="false"/>
        <w:sz w:val="24"/>
        <w:i w:val="false"/>
        <w:u w:val="none"/>
        <w:b w:val="false"/>
        <w:rFonts w:ascii="Times New Roman" w:hAnsi="Times New Roman" w:cs="Times New Roman"/>
        <w:color w:val="000000"/>
      </w:rPr>
    </w:lvl>
    <w:lvl w:ilvl="6">
      <w:start w:val="1"/>
      <w:numFmt w:val="upperLetter"/>
      <w:lvlText w:val="(%7)"/>
      <w:lvlJc w:val="start"/>
      <w:pPr>
        <w:tabs>
          <w:tab w:val="num" w:pos="5040"/>
        </w:tabs>
        <w:ind w:start="5040" w:hanging="720"/>
      </w:pPr>
      <w:rPr>
        <w:smallCaps w:val="false"/>
        <w:caps w:val="false"/>
        <w:sz w:val="24"/>
        <w:i w:val="false"/>
        <w:u w:val="none"/>
        <w:b w:val="false"/>
        <w:rFonts w:ascii="Times New Roman" w:hAnsi="Times New Roman" w:cs="Times New Roman"/>
        <w:color w:val="000000"/>
      </w:rPr>
    </w:lvl>
    <w:lvl w:ilvl="7">
      <w:start w:val="1"/>
      <w:numFmt w:val="lowerRoman"/>
      <w:lvlText w:val="%8."/>
      <w:lvlJc w:val="start"/>
      <w:pPr>
        <w:tabs>
          <w:tab w:val="num" w:pos="5760"/>
        </w:tabs>
        <w:ind w:start="5760" w:hanging="720"/>
      </w:pPr>
      <w:rPr>
        <w:smallCaps w:val="false"/>
        <w:caps w:val="false"/>
        <w:sz w:val="24"/>
        <w:i w:val="false"/>
        <w:u w:val="none"/>
        <w:b w:val="false"/>
        <w:rFonts w:ascii="Times New Roman" w:hAnsi="Times New Roman" w:cs="Times New Roman"/>
        <w:color w:val="000000"/>
      </w:r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b w:val="false"/>
      <w:i w:val="false"/>
      <w:caps/>
      <w:color w:val="000000"/>
      <w:sz w:val="24"/>
      <w:u w:val="none"/>
    </w:rPr>
  </w:style>
  <w:style w:type="character" w:styleId="WW8Num4z1">
    <w:name w:val="WW8Num4z1"/>
    <w:qFormat/>
    <w:rPr>
      <w:rFonts w:ascii="Times New Roman" w:hAnsi="Times New Roman" w:cs="Times New Roman"/>
      <w:b w:val="false"/>
      <w:i w:val="false"/>
      <w:caps w:val="false"/>
      <w:smallCaps w:val="false"/>
      <w:color w:val="000000"/>
      <w:sz w:val="24"/>
      <w:u w:val="none"/>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480"/>
      <w:jc w:val="both"/>
    </w:pPr>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before="0" w:after="24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widowControl w:val="false"/>
    </w:pPr>
    <w:rPr>
      <w:sz w:val="24"/>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widowControl/>
      <w:numPr>
        <w:ilvl w:val="0"/>
        <w:numId w:val="2"/>
      </w:numPr>
      <w:spacing w:before="0" w:after="240"/>
      <w:outlineLvl w:val="0"/>
    </w:pPr>
    <w:rPr>
      <w:caps/>
      <w:color w:val="000000"/>
      <w:u w:val="single"/>
    </w:rPr>
  </w:style>
  <w:style w:type="paragraph" w:styleId="OutHead2">
    <w:name w:val="OutHead2"/>
    <w:basedOn w:val="Normal"/>
    <w:next w:val="DWTNorm"/>
    <w:qFormat/>
    <w:pPr>
      <w:keepNext w:val="true"/>
      <w:widowControl/>
      <w:numPr>
        <w:ilvl w:val="0"/>
        <w:numId w:val="2"/>
      </w:numPr>
      <w:spacing w:before="0" w:after="240"/>
      <w:outlineLvl w:val="1"/>
    </w:pPr>
    <w:rPr>
      <w:color w:val="000000"/>
      <w:u w:val="single"/>
    </w:rPr>
  </w:style>
  <w:style w:type="paragraph" w:styleId="OutHead3">
    <w:name w:val="OutHead3"/>
    <w:basedOn w:val="Normal"/>
    <w:next w:val="DWTNorm"/>
    <w:qFormat/>
    <w:pPr>
      <w:keepNext w:val="true"/>
      <w:widowControl/>
      <w:numPr>
        <w:ilvl w:val="0"/>
        <w:numId w:val="2"/>
      </w:numPr>
      <w:spacing w:before="0" w:after="240"/>
      <w:outlineLvl w:val="2"/>
    </w:pPr>
    <w:rPr>
      <w:color w:val="000000"/>
      <w:u w:val="single"/>
    </w:rPr>
  </w:style>
  <w:style w:type="paragraph" w:styleId="OutHead4">
    <w:name w:val="OutHead4"/>
    <w:basedOn w:val="Normal"/>
    <w:next w:val="DWTNorm"/>
    <w:qFormat/>
    <w:pPr>
      <w:keepNext w:val="true"/>
      <w:widowControl/>
      <w:numPr>
        <w:ilvl w:val="0"/>
        <w:numId w:val="2"/>
      </w:numPr>
      <w:spacing w:before="0" w:after="240"/>
      <w:outlineLvl w:val="3"/>
    </w:pPr>
    <w:rPr>
      <w:color w:val="000000"/>
      <w:u w:val="single"/>
    </w:rPr>
  </w:style>
  <w:style w:type="paragraph" w:styleId="OutHead5">
    <w:name w:val="OutHead5"/>
    <w:basedOn w:val="Normal"/>
    <w:next w:val="DWTNorm"/>
    <w:qFormat/>
    <w:pPr>
      <w:keepNext w:val="true"/>
      <w:widowControl/>
      <w:numPr>
        <w:ilvl w:val="0"/>
        <w:numId w:val="2"/>
      </w:numPr>
      <w:spacing w:before="0" w:after="240"/>
      <w:outlineLvl w:val="4"/>
    </w:pPr>
    <w:rPr>
      <w:color w:val="000000"/>
      <w:u w:val="single"/>
    </w:rPr>
  </w:style>
  <w:style w:type="paragraph" w:styleId="OutHead6">
    <w:name w:val="OutHead6"/>
    <w:basedOn w:val="Normal"/>
    <w:next w:val="DWTNorm"/>
    <w:qFormat/>
    <w:pPr>
      <w:keepNext w:val="true"/>
      <w:widowControl/>
      <w:numPr>
        <w:ilvl w:val="0"/>
        <w:numId w:val="2"/>
      </w:numPr>
      <w:spacing w:before="0" w:after="240"/>
      <w:outlineLvl w:val="5"/>
    </w:pPr>
    <w:rPr>
      <w:color w:val="000000"/>
      <w:u w:val="single"/>
    </w:rPr>
  </w:style>
  <w:style w:type="paragraph" w:styleId="OutHead7">
    <w:name w:val="OutHead7"/>
    <w:basedOn w:val="Normal"/>
    <w:next w:val="DWTNorm"/>
    <w:qFormat/>
    <w:pPr>
      <w:keepNext w:val="true"/>
      <w:widowControl/>
      <w:numPr>
        <w:ilvl w:val="0"/>
        <w:numId w:val="2"/>
      </w:numPr>
      <w:spacing w:before="0" w:after="240"/>
      <w:outlineLvl w:val="6"/>
    </w:pPr>
    <w:rPr>
      <w:color w:val="000000"/>
      <w:u w:val="single"/>
    </w:rPr>
  </w:style>
  <w:style w:type="paragraph" w:styleId="OutHead8">
    <w:name w:val="OutHead8"/>
    <w:basedOn w:val="Normal"/>
    <w:next w:val="DWTNorm"/>
    <w:qFormat/>
    <w:pPr>
      <w:keepNext w:val="true"/>
      <w:widowControl/>
      <w:numPr>
        <w:ilvl w:val="0"/>
        <w:numId w:val="2"/>
      </w:numPr>
      <w:spacing w:before="0" w:after="240"/>
      <w:outlineLvl w:val="7"/>
    </w:pPr>
    <w:rPr>
      <w:color w:val="000000"/>
      <w:u w:val="single"/>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itle1">
    <w:name w:val="Title1"/>
    <w:basedOn w:val="DWTNorm"/>
    <w:qFormat/>
    <w:pPr>
      <w:spacing w:lineRule="auto" w:line="480"/>
      <w:ind w:hanging="0" w:start="0" w:end="0"/>
      <w:jc w:val="center"/>
    </w:pPr>
    <w:rPr>
      <w:u w:val="single"/>
    </w:rPr>
  </w:style>
  <w:style w:type="paragraph" w:styleId="TOC1">
    <w:name w:val="toc 1"/>
    <w:basedOn w:val="Normal"/>
    <w:next w:val="Normal"/>
    <w:pPr>
      <w:tabs>
        <w:tab w:val="clear" w:pos="720"/>
        <w:tab w:val="left" w:pos="360" w:leader="none"/>
        <w:tab w:val="right" w:pos="9350" w:leader="dot"/>
      </w:tabs>
      <w:spacing w:before="0" w:after="240"/>
    </w:pPr>
    <w:rPr>
      <w:lang w:val="en-CA"/>
    </w:rPr>
  </w:style>
  <w:style w:type="paragraph" w:styleId="TOC2">
    <w:name w:val="toc 2"/>
    <w:basedOn w:val="Normal"/>
    <w:next w:val="Normal"/>
    <w:pPr>
      <w:tabs>
        <w:tab w:val="clear" w:pos="720"/>
        <w:tab w:val="left" w:pos="1080" w:leader="none"/>
        <w:tab w:val="right" w:pos="9350" w:leader="dot"/>
      </w:tabs>
      <w:spacing w:before="0" w:after="240"/>
      <w:ind w:hanging="360" w:start="720" w:end="0"/>
    </w:pPr>
    <w:rPr>
      <w:lang w:val="en-CA"/>
    </w:rPr>
  </w:style>
  <w:style w:type="paragraph" w:styleId="TOC3">
    <w:name w:val="toc 3"/>
    <w:basedOn w:val="Normal"/>
    <w:next w:val="Normal"/>
    <w:pPr>
      <w:tabs>
        <w:tab w:val="clear" w:pos="720"/>
        <w:tab w:val="left" w:pos="990" w:leader="none"/>
        <w:tab w:val="right" w:pos="9350" w:leader="dot"/>
      </w:tabs>
      <w:spacing w:before="0" w:after="240"/>
      <w:ind w:hanging="270" w:start="990" w:end="0"/>
    </w:pPr>
    <w:rPr>
      <w:lang w:val="en-CA"/>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b/>
    </w:rPr>
  </w:style>
  <w:style w:type="paragraph" w:styleId="BlockText">
    <w:name w:val="Block Text"/>
    <w:basedOn w:val="Normal"/>
    <w:qFormat/>
    <w:pPr>
      <w:ind w:hanging="0" w:start="720" w:end="1530"/>
      <w:jc w:val="both"/>
    </w:pPr>
    <w:rPr/>
  </w:style>
  <w:style w:type="paragraph" w:styleId="BodyTextIndent2">
    <w:name w:val="Body Text Indent 2"/>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2001-04-11T21:55:00Z</dcterms:created>
  <dc:creator>Allyssa Lemire</dc:creator>
  <dc:description/>
  <dc:language>en-CA</dc:language>
  <cp:lastModifiedBy>Template</cp:lastModifiedBy>
  <cp:lastPrinted>2001-04-11T19:00:00Z</cp:lastPrinted>
  <dcterms:modified xsi:type="dcterms:W3CDTF">2001-04-11T23:30:00Z</dcterms:modified>
  <cp:revision>7</cp:revision>
  <dc:subject/>
  <dc:title>UNITED STATES OF AMERICA</dc:title>
</cp:coreProperties>
</file>