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media/image1.wmf" ContentType="image/x-wmf"/>
  <Override PartName="/word/media/image2.png" ContentType="image/png"/>
  <Override PartName="/word/footer5.xml" ContentType="application/vnd.openxmlformats-officedocument.wordprocessingml.footer+xml"/>
  <Override PartName="/word/footer6.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pPr>
      <w:r>
        <w:rPr/>
        <w:t>STATE OF CONNECTICUT</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pPr>
      <w:r>
        <w:rPr/>
        <w:t>DEPARTMENT OF PUBLIC UTILITY CONTROL</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tbl>
      <w:tblPr>
        <w:tblW w:w="8856" w:type="dxa"/>
        <w:jc w:val="start"/>
        <w:tblInd w:w="0" w:type="dxa"/>
        <w:tblLayout w:type="fixed"/>
        <w:tblCellMar>
          <w:top w:w="0" w:type="dxa"/>
          <w:start w:w="108" w:type="dxa"/>
          <w:bottom w:w="0" w:type="dxa"/>
          <w:end w:w="108" w:type="dxa"/>
        </w:tblCellMar>
      </w:tblPr>
      <w:tblGrid>
        <w:gridCol w:w="4518"/>
        <w:gridCol w:w="360"/>
        <w:gridCol w:w="3978"/>
      </w:tblGrid>
      <w:tr>
        <w:trPr/>
        <w:tc>
          <w:tcPr>
            <w:tcW w:w="4518"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DPUC REVIEW OF CONNECTICUT LIGHT AND POWER COMPANY'S CONSERVATION AND LOAD MANAGEMENT PROGRAMS FOR 2000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both"/>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DPUC REVIEW OF THE UNITED ILLUMINATING COMPANY'S CONSERVATION AND LOAD MANAGEMENT PLAN FOR 2000</w:t>
            </w:r>
          </w:p>
        </w:tc>
        <w:tc>
          <w:tcPr>
            <w:tcW w:w="360"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tc>
        <w:tc>
          <w:tcPr>
            <w:tcW w:w="3978"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DOCKET NO. 99-09-30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DOCKET NO. 99-10-18</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JANUARY   , 2001</w:t>
            </w:r>
          </w:p>
        </w:tc>
      </w:tr>
    </w:tbl>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REQUEST TO REOPEN PROCEEDINGS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BY</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b/>
          <w:caps/>
          <w:u w:val="single"/>
        </w:rPr>
      </w:pPr>
      <w:r>
        <w:rPr>
          <w:caps/>
          <w:u w:val="single"/>
        </w:rPr>
        <w:t>CONNECTICUT RESOURCES RECOVERY AUTHORITY</w:t>
      </w:r>
    </w:p>
    <w:p>
      <w:pPr>
        <w:pStyle w:val="Footer"/>
        <w:tabs>
          <w:tab w:val="clear" w:pos="4320"/>
          <w:tab w:val="clear" w:pos="8640"/>
          <w:tab w:val="clear" w:pos="9360"/>
          <w:tab w:val="left" w:pos="720" w:leader="none"/>
          <w:tab w:val="left" w:pos="1440" w:leader="none"/>
          <w:tab w:val="left" w:pos="2160" w:leader="none"/>
          <w:tab w:val="left" w:pos="2880" w:leader="none"/>
          <w:tab w:val="left" w:pos="3240" w:leader="none"/>
          <w:tab w:val="left" w:pos="4680" w:leader="none"/>
          <w:tab w:val="left" w:pos="5040" w:leader="none"/>
        </w:tabs>
        <w:rPr>
          <w:b/>
          <w:caps/>
          <w:u w:val="single"/>
        </w:rPr>
      </w:pPr>
      <w:r>
        <w:rPr>
          <w:b/>
          <w:caps/>
          <w:u w:val="singl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I.</w:t>
        <w:tab/>
        <w:t>INTRODUCTION</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Fuel cells provide efficient electricity generation with extremely low emissions.  Output from fuel cells can be utilized by competitive energy suppliers in the State of Connecticut to meet Class I renewable resource requirements.  But today, the high capital cost of fuel cells hinders their acceptance in the marketplace.  In this proceeding, the Department has the opportunity to drive down these capital costs while facilitating retail electricity competition and stimulating Connecticut's economic development.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To achieve these goals, the Connecticut Resources Recovery Authority  ("CRRA") files this Request to Reopen (Request) Docket No. 99-09-30, </w:t>
      </w:r>
      <w:r>
        <w:rPr>
          <w:u w:val="single"/>
        </w:rPr>
        <w:t>DPUC Review of the Connecticut Light and Power Company's Conservation and Load Management Programs for 2000</w:t>
      </w:r>
      <w:r>
        <w:rPr/>
        <w:t xml:space="preserve"> (CL&amp;P Docket) and Docket No. 99-10-18, </w:t>
      </w:r>
      <w:r>
        <w:rPr>
          <w:u w:val="single"/>
        </w:rPr>
        <w:t>DPUC Review of the United Illuminating Company's Conservation and Load Management Plan for 2000</w:t>
      </w:r>
      <w:r>
        <w:rPr/>
        <w:t xml:space="preserve"> (UI Docket)(together referred to as the "2000 C&amp;LM Plan Dockets") pursuant to Connecticut General Statutes §§ 4-181a and 16-9.  In the reopening, CRRA requests that the Department amend the year 2000 Conservation and Load Management Plans of the Connecticut Light and Power Company (CL&amp;P) and The United Illuminating Company (UI) to include a multi-year market transformation initiative that calls for the installation of 50 MW of fuel cells within Connecticut..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This proposal includes the development, construction and installation of up to five fuel cell farms by CRRA through its project developer Enron North America Corp. ("Project Developer").  CRRA will control and operate the fuel cells.  This multi-year market transformation initiative will provide a Class I renewable energy resource which will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retail electricity market.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This Request sets forth a description of CRRA's proposal; financial information; policy benefits of the market transformation initiative; environmental and economic development benefits; and a pro forma analysis; as well as proposed Findings of Fact, Conclusions and Orders.  The project is summarized in this Request.  Additional detail is contained in the attached pre-filed testimony of Mr. Robert E. Wright, President of CRRA, and Mr. Jeffrey Ader and Ms. Heather Kroll of Enron North America.</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firstLine="720" w:end="0"/>
        <w:rPr/>
      </w:pPr>
      <w:r>
        <w:rPr/>
        <w:t>The person to whom correspondence and other filings with respect to this Request should be directed is: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Robert E. Wright, President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Connecticut Resources Recovery Authority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100 Constitution Plaza</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Hartford, CT 06103-1702</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(860) 757-7700</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 xml:space="preserve">II. </w:t>
        <w:tab/>
        <w:t>DESCRIPTION OF PROPOSAL</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tab/>
        <w:t>A.</w:t>
        <w:tab/>
        <w:t>General overview</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BodyText"/>
        <w:tabs>
          <w:tab w:val="left" w:pos="720" w:leader="none"/>
        </w:tabs>
        <w:spacing w:lineRule="auto" w:line="480"/>
        <w:rPr/>
      </w:pPr>
      <w:r>
        <w:rPr/>
        <w:tab/>
      </w:r>
      <w:r>
        <w:rPr>
          <w:rFonts w:cs="CG Times;Times New Roman" w:ascii="CG Times;Times New Roman" w:hAnsi="CG Times;Times New Roman"/>
          <w:sz w:val="24"/>
        </w:rPr>
        <w:t xml:space="preserve">CRRA will enter into a contract with the Project Developer to cause the development, construction and installation of up to five fuel cell farms and related facilities with a combined nominal generating capacity of 50 MW on sites currently owned, controlled, or to be controlled by CRRA.  CRRA will control and have responsibility for the operation of the fuel cell farms and related facilities.  The Project Developer and CRRA will mitigate the technology and performance risk of the investment through the requirement of an acceptance test.  If any individual fuel cell power plant fails to meet the minimum performance standards required by this acceptance test, the Project Developer will cause to be refunded to the Energy Conservation and Load Management Fund the individual plant’s cost.  The Project Developer will receive a development fee of 10% of the proposed cost of the market transformation initiative.  </w:t>
      </w:r>
    </w:p>
    <w:p>
      <w:pPr>
        <w:pStyle w:val="BodyText"/>
        <w:tabs>
          <w:tab w:val="left" w:pos="720" w:leader="none"/>
        </w:tabs>
        <w:spacing w:lineRule="auto" w:line="480"/>
        <w:rPr/>
      </w:pPr>
      <w:r>
        <w:rPr>
          <w:rFonts w:cs="CG Times;Times New Roman" w:ascii="CG Times;Times New Roman" w:hAnsi="CG Times;Times New Roman"/>
          <w:sz w:val="24"/>
        </w:rPr>
        <w:tab/>
        <w:t>The facilities will utilize fuel cell electrical generation equipment manufactured and licensed by FuelCell Energy, Inc. of Danbury, Connecticut.  FuelCell Energy, Inc. has provided electrochemical research solutions to various private sector and governmental customers for nearly 30 years.  FuelCell Energy, Inc. has developed a multi-fuel capable fuel cell.  FuelCell Energy Inc.'s design allows its fuel cell to utilize natural gas, methanol, ethanol, bio-gas and any other fuel that contains methane.  All fuel cell modules will be manufactured exclusively in Connecticut.  Construction of all fuel cells and related facilities is anticipated to be complete by December 31, 2004.  This schedule supports compliance with the state’s renewable energy portfolio standard which requires that electric suppliers' aggregate portfolios include approximately 116 MW of Class I resources by July 1, 2004.  (2.0% of total Connecticut load) (</w:t>
      </w:r>
      <w:r>
        <w:rPr>
          <w:rFonts w:cs="CG Times;Times New Roman" w:ascii="CG Times;Times New Roman" w:hAnsi="CG Times;Times New Roman"/>
          <w:sz w:val="24"/>
          <w:u w:val="single"/>
        </w:rPr>
        <w:t>See</w:t>
      </w:r>
      <w:r>
        <w:rPr>
          <w:rFonts w:cs="CG Times;Times New Roman" w:ascii="CG Times;Times New Roman" w:hAnsi="CG Times;Times New Roman"/>
          <w:sz w:val="24"/>
        </w:rPr>
        <w:t>, Exhibit A.)  Conn. Gen. Stat. § 16-245a.</w:t>
      </w:r>
    </w:p>
    <w:p>
      <w:pPr>
        <w:pStyle w:val="BodyText"/>
        <w:tabs>
          <w:tab w:val="left" w:pos="720" w:leader="none"/>
        </w:tabs>
        <w:spacing w:lineRule="auto" w:line="480"/>
        <w:rPr/>
      </w:pPr>
      <w:r>
        <w:rPr/>
        <w:tab/>
        <w:t>The proposed sites and configurations, which are subject to further permitting requirements, are listed below.  Other contingency sites within Connecticut are being developed in order to maintain the budget and installation schedule in the event a site becomes unusable or uneconomical for some unforeseen reason.</w:t>
      </w:r>
    </w:p>
    <w:tbl>
      <w:tblPr>
        <w:tblW w:w="6408" w:type="dxa"/>
        <w:jc w:val="start"/>
        <w:tblInd w:w="0" w:type="dxa"/>
        <w:tblLayout w:type="fixed"/>
        <w:tblCellMar>
          <w:top w:w="0" w:type="dxa"/>
          <w:start w:w="108" w:type="dxa"/>
          <w:bottom w:w="0" w:type="dxa"/>
          <w:end w:w="108" w:type="dxa"/>
        </w:tblCellMar>
      </w:tblPr>
      <w:tblGrid>
        <w:gridCol w:w="2952"/>
        <w:gridCol w:w="1728"/>
        <w:gridCol w:w="1728"/>
      </w:tblGrid>
      <w:tr>
        <w:trPr>
          <w:trHeight w:val="918" w:hRule="atLeast"/>
        </w:trPr>
        <w:tc>
          <w:tcPr>
            <w:tcW w:w="2952" w:type="dxa"/>
            <w:tcBorders/>
          </w:tcPr>
          <w:p>
            <w:pPr>
              <w:pStyle w:val="BodyText"/>
              <w:pBdr>
                <w:bottom w:val="single" w:sz="6" w:space="1" w:color="000000"/>
              </w:pBdr>
              <w:rPr>
                <w:rFonts w:ascii="CG Times;Times New Roman" w:hAnsi="CG Times;Times New Roman" w:cs="CG Times;Times New Roman"/>
                <w:b/>
                <w:sz w:val="24"/>
              </w:rPr>
            </w:pPr>
            <w:r>
              <w:rPr>
                <w:rFonts w:cs="CG Times;Times New Roman" w:ascii="CG Times;Times New Roman" w:hAnsi="CG Times;Times New Roman"/>
                <w:b/>
                <w:sz w:val="24"/>
              </w:rPr>
              <w:br/>
              <w:t>Site</w:t>
            </w:r>
          </w:p>
        </w:tc>
        <w:tc>
          <w:tcPr>
            <w:tcW w:w="1728" w:type="dxa"/>
            <w:tcBorders/>
          </w:tcPr>
          <w:p>
            <w:pPr>
              <w:pStyle w:val="BodyText"/>
              <w:pBdr>
                <w:bottom w:val="single" w:sz="6" w:space="1" w:color="000000"/>
              </w:pBdr>
              <w:rPr>
                <w:rFonts w:ascii="CG Times;Times New Roman" w:hAnsi="CG Times;Times New Roman" w:cs="CG Times;Times New Roman"/>
                <w:b/>
                <w:sz w:val="24"/>
              </w:rPr>
            </w:pPr>
            <w:r>
              <w:rPr>
                <w:rFonts w:cs="CG Times;Times New Roman" w:ascii="CG Times;Times New Roman" w:hAnsi="CG Times;Times New Roman"/>
                <w:b/>
                <w:sz w:val="24"/>
              </w:rPr>
              <w:t>Number of Units</w:t>
            </w:r>
          </w:p>
        </w:tc>
        <w:tc>
          <w:tcPr>
            <w:tcW w:w="1728" w:type="dxa"/>
            <w:tcBorders/>
          </w:tcPr>
          <w:p>
            <w:pPr>
              <w:pStyle w:val="BodyText"/>
              <w:pBdr>
                <w:bottom w:val="single" w:sz="6" w:space="1" w:color="000000"/>
              </w:pBdr>
              <w:rPr>
                <w:rFonts w:ascii="CG Times;Times New Roman" w:hAnsi="CG Times;Times New Roman" w:cs="CG Times;Times New Roman"/>
                <w:b/>
                <w:sz w:val="24"/>
              </w:rPr>
            </w:pPr>
            <w:r>
              <w:rPr>
                <w:rFonts w:cs="CG Times;Times New Roman" w:ascii="CG Times;Times New Roman" w:hAnsi="CG Times;Times New Roman"/>
                <w:b/>
                <w:sz w:val="24"/>
              </w:rPr>
              <w:br/>
              <w:t>Total MWs</w:t>
            </w:r>
          </w:p>
        </w:tc>
      </w:tr>
      <w:tr>
        <w:trPr/>
        <w:tc>
          <w:tcPr>
            <w:tcW w:w="2952"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Wallingford</w:t>
            </w:r>
          </w:p>
        </w:tc>
        <w:tc>
          <w:tcPr>
            <w:tcW w:w="1728"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10</w:t>
            </w:r>
          </w:p>
        </w:tc>
        <w:tc>
          <w:tcPr>
            <w:tcW w:w="1728"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21.2</w:t>
            </w:r>
          </w:p>
        </w:tc>
      </w:tr>
      <w:tr>
        <w:trPr/>
        <w:tc>
          <w:tcPr>
            <w:tcW w:w="2952"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Hartford</w:t>
            </w:r>
          </w:p>
        </w:tc>
        <w:tc>
          <w:tcPr>
            <w:tcW w:w="1728" w:type="dxa"/>
            <w:tcBorders/>
          </w:tcPr>
          <w:p>
            <w:pPr>
              <w:pStyle w:val="BodyText"/>
              <w:pBdr>
                <w:bottom w:val="single" w:sz="6" w:space="1" w:color="000000"/>
              </w:pBdr>
              <w:spacing w:lineRule="auto" w:line="480"/>
              <w:rPr>
                <w:rFonts w:ascii="CG Times;Times New Roman" w:hAnsi="CG Times;Times New Roman" w:cs="CG Times;Times New Roman"/>
                <w:sz w:val="24"/>
              </w:rPr>
            </w:pPr>
            <w:r>
              <w:rPr>
                <w:rFonts w:cs="CG Times;Times New Roman" w:ascii="CG Times;Times New Roman" w:hAnsi="CG Times;Times New Roman"/>
                <w:sz w:val="24"/>
              </w:rPr>
              <w:t>12</w:t>
            </w:r>
          </w:p>
        </w:tc>
        <w:tc>
          <w:tcPr>
            <w:tcW w:w="1728" w:type="dxa"/>
            <w:tcBorders/>
          </w:tcPr>
          <w:p>
            <w:pPr>
              <w:pStyle w:val="BodyText"/>
              <w:pBdr>
                <w:bottom w:val="single" w:sz="6" w:space="1" w:color="000000"/>
              </w:pBdr>
              <w:spacing w:lineRule="auto" w:line="480"/>
              <w:rPr>
                <w:rFonts w:ascii="CG Times;Times New Roman" w:hAnsi="CG Times;Times New Roman" w:cs="CG Times;Times New Roman"/>
                <w:sz w:val="24"/>
              </w:rPr>
            </w:pPr>
            <w:r>
              <w:rPr>
                <w:rFonts w:cs="CG Times;Times New Roman" w:ascii="CG Times;Times New Roman" w:hAnsi="CG Times;Times New Roman"/>
                <w:sz w:val="24"/>
              </w:rPr>
              <w:t>28.8</w:t>
            </w:r>
          </w:p>
        </w:tc>
      </w:tr>
      <w:tr>
        <w:trPr/>
        <w:tc>
          <w:tcPr>
            <w:tcW w:w="2952"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Total</w:t>
            </w:r>
          </w:p>
        </w:tc>
        <w:tc>
          <w:tcPr>
            <w:tcW w:w="1728"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22</w:t>
            </w:r>
          </w:p>
        </w:tc>
        <w:tc>
          <w:tcPr>
            <w:tcW w:w="1728" w:type="dxa"/>
            <w:tcBorders/>
          </w:tcPr>
          <w:p>
            <w:pPr>
              <w:pStyle w:val="BodyText"/>
              <w:spacing w:lineRule="auto" w:line="480"/>
              <w:rPr>
                <w:rFonts w:ascii="CG Times;Times New Roman" w:hAnsi="CG Times;Times New Roman" w:cs="CG Times;Times New Roman"/>
                <w:b/>
                <w:sz w:val="24"/>
              </w:rPr>
            </w:pPr>
            <w:r>
              <w:rPr>
                <w:rFonts w:cs="CG Times;Times New Roman" w:ascii="CG Times;Times New Roman" w:hAnsi="CG Times;Times New Roman"/>
                <w:b/>
                <w:sz w:val="24"/>
              </w:rPr>
              <w:t>50.0</w:t>
            </w:r>
          </w:p>
        </w:tc>
      </w:tr>
    </w:tbl>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CRRA will schedule the output from the facilities into the NEPOOL power grid and make the power available to market participants.  The Class I renewable credit will first be made available to retail electric suppliers marketing to serve Connecticut load at NEPOOL market clearing prices.  Revenues from the sale of the facilities’ electrical output will serve to offset the cost of fuel and operations.  All remaining income from the facilities’ sales will be held in a maintenance reserve account to fund major maintenance including fuel cell stack replacements.  </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tab/>
        <w:t>B.</w:t>
        <w:tab/>
        <w:t xml:space="preserve">Financial information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BodyText"/>
        <w:tabs>
          <w:tab w:val="left" w:pos="720" w:leader="none"/>
        </w:tabs>
        <w:spacing w:lineRule="auto" w:line="480"/>
        <w:rPr/>
      </w:pPr>
      <w:r>
        <w:rPr>
          <w:rFonts w:cs="CG Times;Times New Roman" w:ascii="CG Times;Times New Roman" w:hAnsi="CG Times;Times New Roman"/>
          <w:b/>
          <w:sz w:val="24"/>
        </w:rPr>
        <w:tab/>
      </w:r>
      <w:r>
        <w:rPr>
          <w:rFonts w:cs="CG Times;Times New Roman" w:ascii="CG Times;Times New Roman" w:hAnsi="CG Times;Times New Roman"/>
          <w:sz w:val="24"/>
        </w:rPr>
        <w:t>1.</w:t>
        <w:tab/>
        <w:t xml:space="preserve">Cost per fuel cell </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Current installed costs of fuel cells range between $5,000 and $6,000 per kilowatt.  While fuel cell technology is proven and reliable, manufacturers have not been able to achieve economic commercialization due to the high capital expenditures required to build up their manufacturing capacity without sufficient unit purchase orders to support those expenditures.</w:t>
      </w:r>
    </w:p>
    <w:p>
      <w:pPr>
        <w:pStyle w:val="BodyText"/>
        <w:tabs>
          <w:tab w:val="left" w:pos="720" w:leader="none"/>
        </w:tabs>
        <w:spacing w:lineRule="auto" w:line="480"/>
        <w:rPr/>
      </w:pPr>
      <w:r>
        <w:rPr>
          <w:rFonts w:cs="CG Times;Times New Roman" w:ascii="CG Times;Times New Roman" w:hAnsi="CG Times;Times New Roman"/>
          <w:sz w:val="24"/>
        </w:rPr>
        <w:tab/>
        <w:t xml:space="preserve">This 50 MW order sufficiently supports the manufacturing investment required to automate and develop economies of scale associated with volume manufacturing and to begin the commercialization of fuel cells as a viable and economical power supply.  The average installed cost for all 22 units in this 50 MW installation is approximately $3,725 per kilowatt.  </w:t>
      </w:r>
      <w:r>
        <w:rPr>
          <w:rFonts w:cs="CG Times;Times New Roman" w:ascii="CG Times;Times New Roman" w:hAnsi="CG Times;Times New Roman"/>
          <w:sz w:val="24"/>
          <w:u w:val="single"/>
        </w:rPr>
        <w:t>See</w:t>
      </w:r>
      <w:r>
        <w:rPr>
          <w:rFonts w:cs="CG Times;Times New Roman" w:ascii="CG Times;Times New Roman" w:hAnsi="CG Times;Times New Roman"/>
          <w:sz w:val="24"/>
        </w:rPr>
        <w:t>, Exhibit B filed under Protective Order.</w:t>
        <w:tab/>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2. Funding of total cost of market transformation initiative</w:t>
      </w:r>
    </w:p>
    <w:p>
      <w:pPr>
        <w:pStyle w:val="BodyText"/>
        <w:tabs>
          <w:tab w:val="left" w:pos="720" w:leader="none"/>
        </w:tabs>
        <w:spacing w:lineRule="auto" w:line="480"/>
        <w:rPr/>
      </w:pPr>
      <w:r>
        <w:rPr>
          <w:rFonts w:cs="CG Times;Times New Roman" w:ascii="CG Times;Times New Roman" w:hAnsi="CG Times;Times New Roman"/>
          <w:sz w:val="24"/>
        </w:rPr>
        <w:tab/>
        <w:t xml:space="preserve">The expected total installed cost of the market transformation initiative including the development fee and a $5 million dollar construction contingency is $187,000,000.  </w:t>
      </w:r>
      <w:r>
        <w:rPr>
          <w:rFonts w:cs="CG Times;Times New Roman" w:ascii="CG Times;Times New Roman" w:hAnsi="CG Times;Times New Roman"/>
          <w:sz w:val="24"/>
          <w:u w:val="single"/>
        </w:rPr>
        <w:t>See</w:t>
      </w:r>
      <w:r>
        <w:rPr>
          <w:rFonts w:cs="CG Times;Times New Roman" w:ascii="CG Times;Times New Roman" w:hAnsi="CG Times;Times New Roman"/>
          <w:sz w:val="24"/>
        </w:rPr>
        <w:t xml:space="preserve">, Exhibit C.  All unspent construction contingency </w:t>
      </w:r>
      <w:r>
        <w:rPr>
          <w:sz w:val="24"/>
        </w:rPr>
        <w:t>will be held in the maintenance reserve account to fund stack replacements.</w:t>
      </w:r>
      <w:r>
        <w:rPr/>
        <w:t xml:space="preserve">  </w:t>
      </w:r>
      <w:r>
        <w:rPr>
          <w:rFonts w:cs="CG Times;Times New Roman" w:ascii="CG Times;Times New Roman" w:hAnsi="CG Times;Times New Roman"/>
          <w:sz w:val="24"/>
        </w:rPr>
        <w:t xml:space="preserve">Funding for the market transformation initiative will come from the Energy Conservation and Load Management Fund established pursuant to Conn. Gen. Stat. § 16-245m(b).  CRRA will issue bonds for the total amount of the market transformation initiative to allow the project to proceed immediately.  CRRA requests that the Department order CL&amp;P and UI to commit a portion of the Energy Conservation and Load Management Fund proceeds each year to pay back the bonds.  Three separate payment options are listed below.  </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The ten-year repayment schedule has a minimal impact on the plans of CL&amp;P and UI to utilize the balance of the Energy Conservation and Load Management Fund proceeds for additional conservation and load management programs.  Under this proposal, of the $1 billion dollars projected to be collected from the Energy Conservation and Load Management Fund over the next ten years, approximately 75% of the funds will remain available for other conservation and load management programs, including CL&amp;P and UI conservation and load management plans.  CRRA respectfully submits that, of all the projects included in the 2000 C&amp;LM Plans, this fuel cell project will make the most significant difference to our energy future.</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r>
    </w:p>
    <w:tbl>
      <w:tblPr>
        <w:tblW w:w="7920" w:type="dxa"/>
        <w:jc w:val="start"/>
        <w:tblInd w:w="0" w:type="dxa"/>
        <w:tblLayout w:type="fixed"/>
        <w:tblCellMar>
          <w:top w:w="0" w:type="dxa"/>
          <w:start w:w="108" w:type="dxa"/>
          <w:bottom w:w="0" w:type="dxa"/>
          <w:end w:w="108" w:type="dxa"/>
        </w:tblCellMar>
      </w:tblPr>
      <w:tblGrid>
        <w:gridCol w:w="2304"/>
        <w:gridCol w:w="1872"/>
        <w:gridCol w:w="1872"/>
        <w:gridCol w:w="1872"/>
      </w:tblGrid>
      <w:tr>
        <w:trPr/>
        <w:tc>
          <w:tcPr>
            <w:tcW w:w="2304"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Repayment Period:</w:t>
            </w:r>
          </w:p>
        </w:tc>
        <w:tc>
          <w:tcPr>
            <w:tcW w:w="1872"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5 years</w:t>
            </w:r>
          </w:p>
        </w:tc>
        <w:tc>
          <w:tcPr>
            <w:tcW w:w="1872"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7 years</w:t>
            </w:r>
          </w:p>
        </w:tc>
        <w:tc>
          <w:tcPr>
            <w:tcW w:w="1872" w:type="dxa"/>
            <w:tcBorders>
              <w:top w:val="single" w:sz="6" w:space="0" w:color="000000"/>
              <w:start w:val="single" w:sz="6" w:space="0" w:color="000000"/>
              <w:end w:val="single" w:sz="6" w:space="0" w:color="000000"/>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10 years</w:t>
            </w:r>
          </w:p>
        </w:tc>
      </w:tr>
      <w:tr>
        <w:trPr/>
        <w:tc>
          <w:tcPr>
            <w:tcW w:w="2304"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Payment per Year *:</w:t>
            </w:r>
          </w:p>
        </w:tc>
        <w:tc>
          <w:tcPr>
            <w:tcW w:w="1872"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$45.6 million</w:t>
            </w:r>
          </w:p>
        </w:tc>
        <w:tc>
          <w:tcPr>
            <w:tcW w:w="1872" w:type="dxa"/>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$34.7 million</w:t>
            </w:r>
          </w:p>
        </w:tc>
        <w:tc>
          <w:tcPr>
            <w:tcW w:w="1872" w:type="dxa"/>
            <w:tcBorders>
              <w:start w:val="single" w:sz="6" w:space="0" w:color="000000"/>
              <w:bottom w:val="single" w:sz="6" w:space="0" w:color="000000"/>
              <w:end w:val="single" w:sz="6" w:space="0" w:color="000000"/>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sz w:val="24"/>
              </w:rPr>
              <w:t>$26.6 million</w:t>
            </w:r>
          </w:p>
        </w:tc>
      </w:tr>
      <w:tr>
        <w:trPr/>
        <w:tc>
          <w:tcPr>
            <w:tcW w:w="4176" w:type="dxa"/>
            <w:gridSpan w:val="2"/>
            <w:tcBorders/>
          </w:tcPr>
          <w:p>
            <w:pPr>
              <w:pStyle w:val="BodyText"/>
              <w:spacing w:lineRule="auto" w:line="480"/>
              <w:rPr>
                <w:rFonts w:ascii="CG Times;Times New Roman" w:hAnsi="CG Times;Times New Roman" w:cs="CG Times;Times New Roman"/>
                <w:sz w:val="24"/>
              </w:rPr>
            </w:pPr>
            <w:r>
              <w:rPr>
                <w:rFonts w:cs="CG Times;Times New Roman" w:ascii="CG Times;Times New Roman" w:hAnsi="CG Times;Times New Roman"/>
                <w:i/>
                <w:sz w:val="24"/>
              </w:rPr>
              <w:t>*Assumed interest rate of 7%</w:t>
            </w:r>
          </w:p>
        </w:tc>
        <w:tc>
          <w:tcPr>
            <w:tcW w:w="1872" w:type="dxa"/>
            <w:tcBorders/>
          </w:tcPr>
          <w:p>
            <w:pPr>
              <w:pStyle w:val="BodyText"/>
              <w:snapToGrid w:val="false"/>
              <w:spacing w:lineRule="auto" w:line="480"/>
              <w:rPr>
                <w:rFonts w:ascii="CG Times;Times New Roman" w:hAnsi="CG Times;Times New Roman" w:cs="CG Times;Times New Roman"/>
                <w:sz w:val="24"/>
              </w:rPr>
            </w:pPr>
            <w:r>
              <w:rPr>
                <w:rFonts w:cs="CG Times;Times New Roman" w:ascii="CG Times;Times New Roman" w:hAnsi="CG Times;Times New Roman"/>
                <w:sz w:val="24"/>
              </w:rPr>
            </w:r>
          </w:p>
        </w:tc>
        <w:tc>
          <w:tcPr>
            <w:tcW w:w="1872" w:type="dxa"/>
            <w:tcBorders/>
          </w:tcPr>
          <w:p>
            <w:pPr>
              <w:pStyle w:val="BodyText"/>
              <w:snapToGrid w:val="false"/>
              <w:spacing w:lineRule="auto" w:line="480"/>
              <w:rPr>
                <w:rFonts w:ascii="CG Times;Times New Roman" w:hAnsi="CG Times;Times New Roman" w:cs="CG Times;Times New Roman"/>
                <w:sz w:val="24"/>
              </w:rPr>
            </w:pPr>
            <w:r>
              <w:rPr>
                <w:rFonts w:cs="CG Times;Times New Roman" w:ascii="CG Times;Times New Roman" w:hAnsi="CG Times;Times New Roman"/>
                <w:sz w:val="24"/>
              </w:rPr>
            </w:r>
          </w:p>
        </w:tc>
      </w:tr>
    </w:tbl>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ab/>
        <w:t xml:space="preserve">At three to five year intervals, the manufacturer recommends a major maintenance overhaul which consists of a fuel cell stack replacement.  The cost of this replacement will be funded out of a reserve established with revenues from the sales of energy and related products from the fuel cells.  </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Because actual sales revenues are unknown, a reconciliation is necessary.  To the extent the maintenance reserve is underfunded, any shortfall will be made up from the Conservation and Load Management Fund.  To the extent the reserve is overfunded, the surplus will be paid into the Conservation and Load Management Fund.</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The expected cost of stack replacement is $400 per kilowatt. Therefore, the expected stack replacement cost is $20.0 million.</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The market transformation initiative has been carefully designed to protect the financial interests of the State of Connecticut and its citizens. CRRA and the Project Developer will mitigate the technology and performance risk of the investment through the requirement of an acceptance test.  If any individual fuel cell power plant fails to meet the minimum performance standards required by this acceptance test, the Project Developer will cause to be refunded the individual plant’s cost back to the Energy Conservation and Load Management Fund.  Additional risk mitigation will be provided through a standard one-year manufacturer’s warranty and an additional stack degradation warranty that runs through the recommended replacement period.</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III.</w:t>
        <w:tab/>
        <w:t>STATUTORY BACKGROUND</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This project is well grounded in state statutes.  When the Legislature undertook the restructuring of the electric industry in 1998, it required that each licensed electric supplier in the State of Connecticut include an increasing percentage of its portfolio from renewable energy sources, specifically defined by the legislature.  </w:t>
      </w:r>
      <w:r>
        <w:rPr>
          <w:u w:val="single"/>
        </w:rPr>
        <w:t>See</w:t>
      </w:r>
      <w:r>
        <w:rPr/>
        <w:t xml:space="preserve">, Conn. Gen. Stat. § 16-245a.  The statute requires an escalating percentage of "Class I" renewable resources in each competitive supplier’s portfolio.  The only sources of Class I power are solar, wind, landfill methane, certain sustainable biomass fuels, and fuel cells.  Conn. Gen. Stat. 16-1(a)(26).  The present Class I requirement (until July 1, 2001) applied to CL&amp;P's and UI's customer load is about 30MW.  By July 1, 2004, the requirement increases to 116 MW.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An electric supplier may satisfy this portfolio requirement by obtaining Class I renewables from the competitive marketplace.  </w:t>
      </w:r>
      <w:r>
        <w:rPr>
          <w:u w:val="single"/>
        </w:rPr>
        <w:t>See</w:t>
      </w:r>
      <w:r>
        <w:rPr/>
        <w:t xml:space="preserve"> Conn. Gen. Stat. § 16-245a(a).  Currently there is insufficient Class I renewable power available in the State of Connecticut to meet the demands of the portfolio requirement.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 restructuring legislation sought to promote the efficient use of energy, to reduce air pollution and other negative environmental effects of power generation, to improve public health, and to promote economic development in Connecticut.  </w:t>
      </w:r>
      <w:r>
        <w:rPr>
          <w:u w:val="single"/>
        </w:rPr>
        <w:t>See</w:t>
      </w:r>
      <w:r>
        <w:rPr/>
        <w:t xml:space="preserve">, Conn. Gen. Stat. 16-244.  The legislature specifically declared the importance of implementing conservation measures and using renewable energy resources.  </w:t>
      </w:r>
      <w:r>
        <w:rPr>
          <w:u w:val="single"/>
        </w:rPr>
        <w:t>See</w:t>
      </w:r>
      <w:r>
        <w:rPr/>
        <w:t xml:space="preserve">, Conn. Gen. Stat. § 16-244(6).  The legislature sought to implement these policies by establishing the renewable portfolio standard and creating a specific funding mechanism for "Market Transformation Initiatives".  </w:t>
      </w:r>
      <w:r>
        <w:rPr>
          <w:u w:val="single"/>
        </w:rPr>
        <w:t>See</w:t>
      </w:r>
      <w:r>
        <w:rPr/>
        <w:t>, Conn. Gen. Stat. § 16-245m.</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 Restructuring Act requires that on and after January 1, 2000 a charge of three mills per kWh of electricity sold be included in each electric distribution company’s bills to its customers.  Receipts from this charge are held in an Energy Conservation and Load Management Fund.  Distributions from the Energy Conservation and Load Management Fund are made in accordance with a "comprehensive plan, which plan shall be approved by the Department …, to implement cost-effective energy conservation programs and market transformation initiatives."  Conn. Gen. Stat. § 16-245m(d).  </w:t>
      </w:r>
      <w:r>
        <w:rPr>
          <w:u w:val="single"/>
        </w:rPr>
        <w:t>See</w:t>
      </w:r>
      <w:r>
        <w:rPr/>
        <w:t xml:space="preserve"> </w:t>
      </w:r>
      <w:r>
        <w:rPr>
          <w:u w:val="single"/>
        </w:rPr>
        <w:t>also</w:t>
      </w:r>
      <w:r>
        <w:rPr/>
        <w:t xml:space="preserve">, Conn. Gen. Stat. §16-245m(b).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Conservation and Load Management Programs are required to pass an annual cost effectiveness test.  Market Transformation Initiatives are under no such annual cost effectiveness testing requirement.  Conn. Gen. Stat. § 16-245m(d).  Additionally, the restructuring legislation promoted the development of in-state electric generating facilities "to ensure an adequate and reliable power supply within the state and ensure development of a truly competitive generation market."  Conn. Gen. Stat. § 16-244(7).</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 Restructuring Act is the backdrop against which this proposal must be examined.   </w:t>
      </w:r>
      <w:r>
        <w:rPr>
          <w:u w:val="single"/>
        </w:rPr>
        <w:t>See</w:t>
      </w:r>
      <w:r>
        <w:rPr/>
        <w:t>, Conn. Gen. Stat. § 16a-35k.  The Restructuring Act  promotes the development and use of renewable energy sources, such as fuel cell technology</w:t>
      </w:r>
      <w:r>
        <w:rPr>
          <w:rStyle w:val="FootnoteCharacters"/>
          <w:rStyle w:val="FootnoteReference"/>
        </w:rPr>
        <w:footnoteReference w:id="2"/>
      </w:r>
      <w:r>
        <w:rPr/>
        <w:t>.  The energy policy articulated in the Act is divided into nine enumerated goals</w:t>
      </w:r>
      <w:r>
        <w:rPr>
          <w:rStyle w:val="FootnoteCharacters"/>
          <w:rStyle w:val="FootnoteReference"/>
        </w:rPr>
        <w:footnoteReference w:id="3"/>
      </w:r>
      <w:r>
        <w:rPr/>
        <w:t>, including development of renewable energy resources, the diversification of the State's energy supply mix, and preference for conservation and load management capacity additions.</w:t>
      </w:r>
      <w:r>
        <w:rPr>
          <w:rStyle w:val="FootnoteCharacters"/>
          <w:rStyle w:val="FootnoteReference"/>
        </w:rPr>
        <w:footnoteReference w:id="4"/>
      </w:r>
      <w:r>
        <w:rPr/>
        <w:t xml:space="preser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The State is required to " . . . seek all possible ways to implement this [energy] policy," and to "use all possible means . . . to improve and coordinate the plans, functions, programs and resources of the state to attain the objectives [of the energy policy]."  Conn. Gen. Stat. §16a-35k.  Further, the Department is required by statute to annually consult with the Commissioner of Environmental Protection, the Connecticut Siting Council and the Office of Policy and Management in order to coordinate actions consistent with the State's energy policy.</w:t>
      </w:r>
      <w:r>
        <w:rPr>
          <w:rStyle w:val="FootnoteCharacters"/>
          <w:rStyle w:val="FootnoteReference"/>
        </w:rPr>
        <w:footnoteReference w:id="5"/>
      </w:r>
      <w:r>
        <w:rPr/>
        <w:t xml:space="preserve">  In doing so, the Department must, "tak[e] into account prudent management of the natural environment and continued promotion of economic development within the state."  Conn. Gen. Stat. § 16-19e(c).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CRRA's fuel cell project achieves each of these important legislative goals.  It will put the energy policy vision of the legislature into action.</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IV.</w:t>
        <w:tab/>
        <w:t>COMPLIANCE WITH STATUTORY REQUIREMENTS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A.</w:t>
        <w:tab/>
        <w:t>Policy Benefits of Market Transformation Initiative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CRRA's proposal meets the goals of both the Electric Restructuring Act and the State of Connecticut's energy policy.  With regard to the Electric Restructuring Act's goals, this proposal constructs in-state electric generating facilities and will help to ensure a necessary and reliable Class I renewable power supply as well as the development of a truly competitive retail electricity market within the State.  In keeping with the State's energy policy, this proposal will increase energy supply in a manner which has very low environmental impact, while directly promoting the economic development of Connecticut businesses.  The fuel cell project will diversify the State's energy supply mix by creating a Class I renewable energy resource.  Finally, fuel cell technology consumes energy resources in a very efficient manner while yielding highly reliable output.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start="720" w:end="0"/>
        <w:rPr/>
      </w:pPr>
      <w:r>
        <w:rPr/>
        <w:t>B.</w:t>
        <w:tab/>
        <w:t>Conservation and Efficiency</w:t>
      </w:r>
    </w:p>
    <w:p>
      <w:pPr>
        <w:pStyle w:val="BodyText"/>
        <w:tabs>
          <w:tab w:val="left" w:pos="720" w:leader="none"/>
        </w:tabs>
        <w:spacing w:lineRule="auto" w:line="480"/>
        <w:rPr/>
      </w:pPr>
      <w:r>
        <w:rPr>
          <w:rFonts w:cs="CG Times;Times New Roman" w:ascii="CG Times;Times New Roman" w:hAnsi="CG Times;Times New Roman"/>
          <w:sz w:val="24"/>
        </w:rPr>
        <w:tab/>
        <w:t xml:space="preserve">Fuel cells are extremely efficient when compared to traditional fossil fuel burning power plants.  FuelCell Energy, Inc. expects its fuel cell modules to have a fuel conversion efficiency of approximately 50%.  In comparison, other distributed generation technology such as diesel generators and microturbines have efficiency rates of approximately 30%.  Even state of the art combined cycle combustion turbine technology does not exceed the fuel cell efficiency rate.  Moreover, this combined cycle efficiency rate can only be maintained if the turbines are continually operating at full capacity.  Operating at less than full capacity results in a dramatic decrease in efficiency.  Fuel cells, in comparison, retain their high efficiency rating even when operating at partial capacity.  </w:t>
      </w:r>
      <w:r>
        <w:rPr>
          <w:rFonts w:cs="CG Times;Times New Roman" w:ascii="CG Times;Times New Roman" w:hAnsi="CG Times;Times New Roman"/>
          <w:sz w:val="24"/>
          <w:u w:val="single"/>
        </w:rPr>
        <w:t>See</w:t>
      </w:r>
      <w:r>
        <w:rPr>
          <w:rFonts w:cs="CG Times;Times New Roman" w:ascii="CG Times;Times New Roman" w:hAnsi="CG Times;Times New Roman"/>
          <w:sz w:val="24"/>
        </w:rPr>
        <w:t>, Exhibit D</w:t>
      </w:r>
    </w:p>
    <w:p>
      <w:pPr>
        <w:pStyle w:val="BodyText"/>
        <w:tabs>
          <w:tab w:val="left" w:pos="720" w:leader="none"/>
        </w:tabs>
        <w:spacing w:lineRule="auto" w:line="480"/>
        <w:rPr/>
      </w:pPr>
      <w:r>
        <w:rPr/>
        <w:tab/>
      </w:r>
      <w:r>
        <w:rPr>
          <w:rFonts w:cs="CG Times;Times New Roman" w:ascii="CG Times;Times New Roman" w:hAnsi="CG Times;Times New Roman"/>
          <w:sz w:val="24"/>
        </w:rPr>
        <w:t>While it is extremely important to conserve energy by using less electricity, as in the Conservation and Load Management Plans of CL&amp;P and UI, it is equally important to conserve energy resources by using less fuel to make electricity.  The combined opportunities of using less fuel to make electricity provided by CRRA's proposal, and conserving electricity through energy-efficient applications, maximize energy conservation and provide a cleaner environment.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w:t>
        <w:tab/>
        <w:t>Environmental Benefits</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 xml:space="preserve">Fuel cells were chosen over the other Class I resources for several reasons.  While all Class I energy resources provide environmentally benign power, it is impractical to reach the State's portfolio standards utilizing Class I resources other than fuel cells.  Solar and wind technologies are not geographically well suited for Connecticut.  Connecticut does not experience the intense sun and wind needed to make these technologies commercially practical.  Opportunities for power generated from landfill gas and sustainable biomass sources are limited by the number of viable sites within the State .  Unlike fuel cells, these other Class I renewable resources face local siting difficulties.  Fuel cells are the clear choice to develop Class I renewable power resources in the State of Connecticut. </w:t>
      </w:r>
    </w:p>
    <w:p>
      <w:pPr>
        <w:pStyle w:val="BodyText"/>
        <w:tabs>
          <w:tab w:val="left" w:pos="720" w:leader="none"/>
        </w:tabs>
        <w:spacing w:lineRule="auto" w:line="480"/>
        <w:rPr/>
      </w:pPr>
      <w:r>
        <w:rPr>
          <w:rFonts w:cs="CG Times;Times New Roman" w:ascii="CG Times;Times New Roman" w:hAnsi="CG Times;Times New Roman"/>
          <w:sz w:val="24"/>
        </w:rPr>
        <w:tab/>
        <w:t>Further, fuel cells have extremely low emissions.  A fuel cell is much cleaner when compared to even the cleanest fossil fuel combustion technology.  For example, a combined cycle plant utilizing "Best Available Control Technology" will emit 2.5 ppm of NO</w:t>
      </w:r>
      <w:r>
        <w:rPr>
          <w:rFonts w:cs="CG Times;Times New Roman" w:ascii="CG Times;Times New Roman" w:hAnsi="CG Times;Times New Roman"/>
          <w:sz w:val="24"/>
          <w:vertAlign w:val="subscript"/>
        </w:rPr>
        <w:t>x .</w:t>
      </w:r>
      <w:r>
        <w:rPr>
          <w:rFonts w:cs="CG Times;Times New Roman" w:ascii="CG Times;Times New Roman" w:hAnsi="CG Times;Times New Roman"/>
          <w:sz w:val="24"/>
        </w:rPr>
        <w:t xml:space="preserve">  In comparison, a fuel cell will emit less than 0.1 ppm of NO</w:t>
      </w:r>
      <w:r>
        <w:rPr>
          <w:rFonts w:cs="CG Times;Times New Roman" w:ascii="CG Times;Times New Roman" w:hAnsi="CG Times;Times New Roman"/>
          <w:sz w:val="24"/>
          <w:vertAlign w:val="subscript"/>
        </w:rPr>
        <w:t>x</w:t>
      </w:r>
      <w:r>
        <w:rPr>
          <w:rFonts w:cs="CG Times;Times New Roman" w:ascii="CG Times;Times New Roman" w:hAnsi="CG Times;Times New Roman"/>
          <w:sz w:val="24"/>
        </w:rPr>
        <w:t>.  A similar comparison exists in regard to SO</w:t>
      </w:r>
      <w:r>
        <w:rPr>
          <w:rFonts w:cs="CG Times;Times New Roman" w:ascii="CG Times;Times New Roman" w:hAnsi="CG Times;Times New Roman"/>
          <w:sz w:val="24"/>
          <w:vertAlign w:val="subscript"/>
        </w:rPr>
        <w:t>x</w:t>
      </w:r>
      <w:r>
        <w:rPr>
          <w:rFonts w:cs="CG Times;Times New Roman" w:ascii="CG Times;Times New Roman" w:hAnsi="CG Times;Times New Roman"/>
          <w:sz w:val="24"/>
        </w:rPr>
        <w:t xml:space="preserve"> and CO.  (</w:t>
      </w:r>
      <w:r>
        <w:rPr>
          <w:rFonts w:cs="CG Times;Times New Roman" w:ascii="CG Times;Times New Roman" w:hAnsi="CG Times;Times New Roman"/>
          <w:sz w:val="24"/>
          <w:u w:val="single"/>
        </w:rPr>
        <w:t>See,</w:t>
      </w:r>
      <w:r>
        <w:rPr>
          <w:rFonts w:cs="CG Times;Times New Roman" w:ascii="CG Times;Times New Roman" w:hAnsi="CG Times;Times New Roman"/>
          <w:sz w:val="24"/>
        </w:rPr>
        <w:t xml:space="preserve"> Exhibit 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There are additional environmental benefits associated with the commercialization of fuel cell technology.  As a source of distributed generation, fuel cells offer the potential to be deployed with comparatively little infrastructure modifications such as major transmission upgrades.  A two MW fuel cell can be sited at a location the approximate size of a tennis court. </w:t>
      </w:r>
      <w:r>
        <w:rPr>
          <w:u w:val="single"/>
        </w:rPr>
        <w:t>See</w:t>
      </w:r>
      <w:r>
        <w:rPr/>
        <w:t>, Exhibit F (photo).  A fuel cell can use existing low pressure distribution gas lines for fuel supply, and can be interconnected into the distribution grid thereby reducing the need for construction of additional transmission lines.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Fonts w:eastAsia="CG Times;Times New Roman"/>
        </w:rPr>
        <w:t xml:space="preserve"> </w:t>
      </w:r>
      <w:r>
        <w:rPr/>
        <w:tab/>
        <w:t>D.</w:t>
        <w:tab/>
        <w:t>Economic Development Benefits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Connecticut will immediately begin noticing the effects of this market transformation initiative.  The required manufacturing investment will necessitate many new manufacturing jobs.  To operate a manufacturing facility that produces 50 MW per year of fuel cells, FuelCell Energy, Inc. projects the need for an additional workforce of over 100 people.  Additional workforce increases are to be expected with expanding market demand for fuel cells.  With the addition of manufacturing jobs comes the addition of marketing, accounting, research and consulting jobs related to fuel cell technologies.  The creation of new enterprises and jobs will increase the State's tax base.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The order for 50 MWs of fuel cells promotes a market transformation initiative that transcends the State of Connecticut and reaches the global economy.  This initiative causes an investment in fuel cell manufacturing technology that allows for the development of higher quality products and economies of scale that will translate into more cost effective products for the market.  In response to lower costs, the market demand for fuel cells will increase, and Connecticut fuel cell manufacturers will be prepared to respond to the increased demand.  As Connecticut currently is home to several emerging fuel cell companies, the State is well positioned to become the largest fuel cell manufacturing region in the world.</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E.</w:t>
        <w:tab/>
        <w:t>Pro Forma Analysis.</w:t>
      </w:r>
    </w:p>
    <w:p>
      <w:pPr>
        <w:pStyle w:val="BodyText2"/>
        <w:tabs>
          <w:tab w:val="left" w:pos="720" w:leader="none"/>
        </w:tabs>
        <w:spacing w:lineRule="auto" w:line="480"/>
        <w:rPr/>
      </w:pPr>
      <w:r>
        <w:rPr>
          <w:rFonts w:cs="CG Times;Times New Roman" w:ascii="CG Times;Times New Roman" w:hAnsi="CG Times;Times New Roman"/>
        </w:rPr>
        <w:tab/>
        <w:t xml:space="preserve">As a market transformation initiative, the fuel cell construction and installation is not required to undergo an annual cost effectiveness review.  </w:t>
      </w:r>
      <w:r>
        <w:rPr>
          <w:rFonts w:cs="CG Times;Times New Roman" w:ascii="CG Times;Times New Roman" w:hAnsi="CG Times;Times New Roman"/>
          <w:u w:val="single"/>
        </w:rPr>
        <w:t>See</w:t>
      </w:r>
      <w:r>
        <w:rPr>
          <w:rFonts w:cs="CG Times;Times New Roman" w:ascii="CG Times;Times New Roman" w:hAnsi="CG Times;Times New Roman"/>
        </w:rPr>
        <w:t xml:space="preserve">, Conn. Gen. Stat. § 16-245m.  However, the ongoing income and expenses of the facilities will be reported to the Department.  </w:t>
      </w:r>
    </w:p>
    <w:p>
      <w:pPr>
        <w:pStyle w:val="BodyText2"/>
        <w:tabs>
          <w:tab w:val="left" w:pos="720" w:leader="none"/>
        </w:tabs>
        <w:spacing w:lineRule="auto" w:line="480"/>
        <w:rPr>
          <w:rFonts w:ascii="CG Times;Times New Roman" w:hAnsi="CG Times;Times New Roman" w:cs="CG Times;Times New Roman"/>
        </w:rPr>
      </w:pPr>
      <w:r>
        <w:rPr>
          <w:rFonts w:cs="CG Times;Times New Roman" w:ascii="CG Times;Times New Roman" w:hAnsi="CG Times;Times New Roman"/>
        </w:rPr>
        <w:tab/>
        <w:t xml:space="preserve">The fuel cell farms are expected to run on a cost effective basis.  The output of these fuel cell farms includes electric energy, ancillary services and a valuable premium for being Class I renewable power.  Energy and ancillary services will be dispatched by ISO - New England.  CRRA or its third party agent will produce and submit to ISO - New England a dispatch schedule and bidding strategy that maximizes the value of the plants in the market.  Revenues from the sale of the plant’s electrical output will serve to offset the cost of fuel, operations and maintenance including stack replacement.  As noted above, the maintenance reserve fund will be subject to reconciliation based on actual output revenues and expenses.  Exhibit G details a five year pro forma analysis of the facilities.  </w:t>
      </w:r>
    </w:p>
    <w:p>
      <w:pPr>
        <w:pStyle w:val="BodyText3"/>
        <w:tabs>
          <w:tab w:val="left" w:pos="720" w:leader="none"/>
        </w:tabs>
        <w:spacing w:lineRule="auto" w:line="480"/>
        <w:jc w:val="both"/>
        <w:rPr>
          <w:rFonts w:ascii="CG Times;Times New Roman" w:hAnsi="CG Times;Times New Roman" w:cs="CG Times;Times New Roman"/>
        </w:rPr>
      </w:pPr>
      <w:r>
        <w:rPr>
          <w:rFonts w:cs="CG Times;Times New Roman" w:ascii="CG Times;Times New Roman" w:hAnsi="CG Times;Times New Roman"/>
        </w:rPr>
        <w:tab/>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s>
        <w:spacing w:lineRule="auto" w:line="480"/>
        <w:jc w:val="both"/>
        <w:rPr/>
      </w:pPr>
      <w:r>
        <w:rPr/>
        <w:tab/>
        <w:t xml:space="preserve">CRRA proposes that initially these Class I resources will be made available at a competitive wholesale rates without the addition of a Class I renewable premium to entities wishing to serve retail load in Connecticut.  These resources will be used by competitive electric suppliers in order to meet their portfolio requirements pursuant to Conn. Gen. Stat. § 16-245a.  The purpose of not charging a premium initially is to encourage retail competition in Connecticut and to promote compliance with the portfolio requirements that are presently difficult and economically prohibitive to meet.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s>
        <w:spacing w:lineRule="auto" w:line="480"/>
        <w:jc w:val="both"/>
        <w:rPr/>
      </w:pPr>
      <w:r>
        <w:rPr/>
        <w:t>V.</w:t>
        <w:tab/>
        <w:t>CONCLUSION</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This plan fulfills the legislative goals of the Restructuring Act and the State Energy Policy while offering unsurpassed benefits to the citizens of Connecticut.  The innovative proposal presented by CRRA will provide a Class I renewable energy resource which will conserve energy,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electric market.  The Conservation and Load Management Fund was specifically developed to promote this type of multi-year market transformation initiative.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Therefore, CRRA respectfully requests the Department to Reopen the above referenced proceedings to amend the 2000 C&amp;LM Plans of CL&amp;P and UI to include the multi-year market transformation initiative proposed herein.  Further, CRRA requests that the Department order that the multi-year market transformation initiative  be funded through the State Conservation and Load Management Fund.  Proposed Findings of Fact, Conclusion and Orders are attached in Exhibit H.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4320" w:end="0"/>
        <w:rPr/>
      </w:pPr>
      <w:r>
        <w:rPr/>
        <w:t>Respectfully submitted,</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s>
        <w:ind w:start="4320" w:end="0"/>
        <w:rPr/>
      </w:pPr>
      <w:r>
        <w:rPr/>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pPr>
      <w:r>
        <w:rPr/>
        <w:t>CONNECTICUT RESOURCES RECOVERY AUTHORITY</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pPr>
      <w:r>
        <w:rPr/>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pPr>
      <w:r>
        <w:rPr/>
        <w:t>By: __________________________________</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4680" w:end="0"/>
        <w:rPr/>
      </w:pPr>
      <w:r>
        <w:rPr/>
        <w:t>Its Attorneys</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jc w:val="center"/>
        <w:rPr/>
      </w:pPr>
      <w:r>
        <w:rPr/>
        <w:t>Exhibit H</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jc w:val="center"/>
        <w:rPr/>
      </w:pPr>
      <w:r>
        <w:rPr/>
        <w:t>PROPOSED FINDINGS OF FACT, CONCLUSION AND ORDERS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u w:val="single"/>
        </w:rPr>
      </w:pPr>
      <w:r>
        <w:rPr>
          <w:u w:val="single"/>
        </w:rPr>
        <w:t>Findings of Fact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Conn. Gen. Stat. § 16-245m requires the Department on and after January 1, 2000, to assess or cause to be assessed a charge of three mills per kWh of electricity sold to each end use customer of an electric distribution company to be used to implement cost effective energy conservation programs and market transformation initiatives.  </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By Decision dated May 10, 2000 in Docket No. 99-09-30, </w:t>
      </w:r>
      <w:r>
        <w:rPr>
          <w:u w:val="single"/>
        </w:rPr>
        <w:t>DPUC Review of the Connecticut Light and Power Company's  Conservation and Load Management Plan for 2000</w:t>
      </w:r>
      <w:r>
        <w:rPr/>
        <w:t>, the Department approved The Connecticut Light and Power Company's Conservation and Load Management Plan for 2000.</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total year 2000 budget amount approved by the Department for CL&amp;P was $67,314,000.00.</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By Decision dated June 14, 2000 in Docket No. 99-10-18, </w:t>
      </w:r>
      <w:r>
        <w:rPr>
          <w:u w:val="single"/>
        </w:rPr>
        <w:t>DPUC Review of the United Illuminating Company's Conservation and Load Management Plan for 2000</w:t>
      </w:r>
      <w:r>
        <w:rPr/>
        <w:t>, the Department approved the United Illuminating Company's Conservation and Load Management Plan for 2000.</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total year 2000 budget amount approved by the Department for UI was $16,782,876.00.</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CRRA's proposal includes the control and responsibility for the operation of up to five fuel cell farms and related facilities with a combined nominal generating capacity of 50 MW.</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Enron North America Corp will act as the project developer and will develop, construct and install up to five fuel cell farms.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project developer will receive a development fee of 10% of the proposed cost of market transformation initiative.</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proposed fuel cell farm locations are on property owned and controlled by CRRA in Wallingford, Connecticut and Hartford, Connecticut.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Other contingency sites within Connecticut are being developed.</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Construction of all facilities is anticipated to be completed by December 31, 2004.</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fuel cell farms will utilize fuel cell electrical generation equipment from FuelCell Energy, Inc, based in Danbury, Connecticut.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Enron has a non-controlling investment in FuelCell Energy, Inc. of $5 million, which will provide a direct and additional incentive to assure the quality and success of the product delivered.</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FuelCell Energy, Inc.'s technology allows the fuel cells to utilize natural gas, menthanol, ethanol, bio-gas, and any other fuel that contains methane.</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All fuel cell modules will be manufactured exclusively in Connecticut.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CRRA will dispatch the unit output into the Connecticut power grid and make power available to market participants.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State statute requires that electric supplier's aggregate portfolios include approximately 116 MW of Class I resources by July 1, 2004.</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Currently the installed cost of a fuel cell ranges between $5,000 and $6,000 per kilowatt.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average installed cost for the 50 MW installation is $3,725 per kilowatt.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expected installed cost of the market transformation initiative is $187,000,000.</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CRRA will issue bonds for the total amount of the market transformation initiative provided that the Department orders CL&amp;P and UI to commit a portion of the Energy Conservation and Load Management Fund proceeds each year to pay back the bonds.  </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CRRA proposed three separate payment options: 5 years at $45 million per year; 7 years at $34.1 million per year; and 10 years at $26 million per year.</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ten year repayment schedule has a minimal impact on the plans of CL&amp;P and UI to utilize the balance of the Energy Conservation and Load Management Fund proceeds for conservation and load management programs.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Under the 10 year proposal, approximately 75% of the $1 billion dollars projected to be collected from the Energy Conservation and Load Management Fund will remain available for other conservation and load management programs, including CL&amp;P and UI conservation and load management plans.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 expected cost of fuel cell stack replacement is $400 per kilowatt.  The expected stack replacement cost is $20.0 million.</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Net income from sales of electrical output and related products from the fuel cells as well as unexpended construction contingency funds, if any, will be placed in a maintenance reserve account to be used for major maintenance activities, including stack replacements.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Shortfalls and surpluses in the maintenance reserve account will be reconciled with the Energy Conservation and Load Management Fund.</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CRRA and the project developer will cause to be refunded to the Energy Conservation and Load Management Fund the individual plant’s cost for any individual fuel cell power plant which fails to meet minimum performance standards required for acceptance. </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A Fuel Cell is a Class I renewable energy source.</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Solar and wind technologies are not geographically well suited for Connecticut.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Opportunities for power generated from landfill gas and biomass sources are limited by the availability of viable sites within Connecticut.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Unlike fuel cells, these other Class I renewable resources face siting difficulties in densely populated areas.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FuelCell Energy, Inc's fuel cells will use approximately 52% less fuel than other comparably sized distributed generation technologies. </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Fuel cells, unlike combustion turbines, retain their high efficiency ratings when operating at partial output.</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A fuel cell is much cleaner when compared to the cleanest fossil fuel generation system.</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There is public resistance to siting traditional power plants within local communities.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Fuel cells operating as distributed generation do not require major infrastructure modifications.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A fuel cell can use existing low pressure distribution natural gas lines for fuel supply, and can be interconnected into the distribution grid, thereby reducing the need for construction of additional transmission lines and natural gas pipelines.</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Fuel cells can help ease congestion in the New England electric distribution system.</w:t>
      </w:r>
    </w:p>
    <w:p>
      <w:pPr>
        <w:pStyle w:val="Normal"/>
        <w:numPr>
          <w:ilvl w:val="0"/>
          <w:numId w:val="4"/>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To operate a manufacturing facility that produces 50 MW per year of fuel cells, FuelCell Energy, Inc. projects the need for an additional workforce of over 100 people </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 xml:space="preserve">A production order for fuel cells of this size will encourage efficiencies in manufacturing, resulting in lower cost of fuel cells in the future, making fuel cells an economically viable generation alternative.  </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 xml:space="preserve">A large order of fuel cells will increase jobs within Connecticut as a fuel cell company grows to keep pace with this expanding market share on the wholesale and distributed generation business.  </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As one of the first states in the U.S. to deregulate its power industry and to require Class I renewable power resources, Connecticut stands to serve as a benchmark for deregulation and Class I renewable power initiatives throughout the county.</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The market transformation initiative is not subject to the annual evaluation found in Conn. Gen. Stat. Sec. 16-245m.</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The energy and ancillary services of the fuel cell farms will be dispatched by the ISO-New England.</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CRRA will produce and submit to ISO-New England a dispatch schedule and bidding strategy that maximizes the value of the plants in the market.</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Revenues from the sale of the plant's electrical output will serve to offset the cost of fuel and operations.</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CRRA proposes that initially the Class I resources will be made available at a competitive wholesale rate without an additional Class I renewable premium to entities wishing to serve retail load in Connecticut.</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The construction and operation of an in-state fuel cell facility will open the retail power market to competitive suppliers who are otherwise discouraged by the Connecticut portfolio requirements.</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The construction and operation of an in-state fuel cell facility will help to ensure a necessary and reliable electric power supply.</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The construction and operation of an in-state fuel cell facility will diversify the state's energy supply mix.</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The overall goals of CRRA's proposal are to advance the efficient use of energy, reduce air pollution, improve public health , and promote economic development in Connecticut.</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The CRRA multi-year market transformation initiative meets the goals of the Electric Restructuring Act of 1998 and the State of Connecticut Energy Policy.</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While it is extremely important to conserve energy by using less electricity as in the Conservation and Load Management Plans of CL&amp;P and UI, it is equally important to conserve energy resources by using less fuel.</w:t>
      </w:r>
    </w:p>
    <w:p>
      <w:pPr>
        <w:pStyle w:val="BodyText"/>
        <w:numPr>
          <w:ilvl w:val="0"/>
          <w:numId w:val="4"/>
        </w:numPr>
        <w:rPr>
          <w:rFonts w:ascii="CG Times;Times New Roman" w:hAnsi="CG Times;Times New Roman" w:cs="CG Times;Times New Roman"/>
          <w:sz w:val="24"/>
        </w:rPr>
      </w:pPr>
      <w:r>
        <w:rPr>
          <w:rFonts w:cs="CG Times;Times New Roman" w:ascii="CG Times;Times New Roman" w:hAnsi="CG Times;Times New Roman"/>
          <w:sz w:val="24"/>
        </w:rPr>
        <w:t>The Department is charged with using all possible means to obtain the objectives of the state's energy policy.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rFonts w:ascii="CG Times;Times New Roman" w:hAnsi="CG Times;Times New Roman" w:cs="CG Times;Times New Roman"/>
          <w:sz w:val="24"/>
        </w:rPr>
      </w:pPr>
      <w:r>
        <w:rPr>
          <w:rFonts w:cs="CG Times;Times New Roman"/>
          <w:sz w:val="24"/>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u w:val="single"/>
        </w:rPr>
      </w:pPr>
      <w:r>
        <w:rPr>
          <w:u w:val="single"/>
        </w:rPr>
        <w:t>Conclusion</w:t>
      </w:r>
    </w:p>
    <w:p>
      <w:pPr>
        <w:pStyle w:val="BodyText"/>
        <w:tabs>
          <w:tab w:val="left" w:pos="720" w:leader="none"/>
        </w:tabs>
        <w:rPr>
          <w:rFonts w:ascii="CG Times;Times New Roman" w:hAnsi="CG Times;Times New Roman" w:cs="CG Times;Times New Roman"/>
          <w:sz w:val="24"/>
        </w:rPr>
      </w:pPr>
      <w:r>
        <w:rPr>
          <w:rFonts w:cs="CG Times;Times New Roman" w:ascii="CG Times;Times New Roman" w:hAnsi="CG Times;Times New Roman"/>
          <w:sz w:val="24"/>
        </w:rPr>
        <w:tab/>
        <w:t>CRRA's plan fulfills the legislative goals of the Restructuring Act and the State Energy Policy while offering unsurpassed benefits to the citizens of Connecticut.  This innovative proposal will provide a Class I renewable energy resource which will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retail electricity market.  The Conservation and Load Management Fund was specifically developed to finance this type of multi-year market transformation initiative.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rFonts w:ascii="CG Times;Times New Roman" w:hAnsi="CG Times;Times New Roman" w:cs="CG Times;Times New Roman"/>
          <w:sz w:val="24"/>
          <w:u w:val="single"/>
        </w:rPr>
      </w:pPr>
      <w:r>
        <w:rPr>
          <w:rFonts w:cs="CG Times;Times New Roman"/>
          <w:sz w:val="24"/>
          <w:u w:val="singl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u w:val="single"/>
        </w:rPr>
      </w:pPr>
      <w:r>
        <w:rPr>
          <w:u w:val="single"/>
        </w:rPr>
        <w:t>Orders</w:t>
      </w:r>
    </w:p>
    <w:p>
      <w:pPr>
        <w:pStyle w:val="Normal"/>
        <w:numPr>
          <w:ilvl w:val="0"/>
          <w:numId w:val="2"/>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The CL&amp;P and UI Conservation and Load Management Plans for 2000 are amended to include CRRA's multi-year market transformation initiative.</w:t>
      </w:r>
    </w:p>
    <w:p>
      <w:pPr>
        <w:pStyle w:val="Normal"/>
        <w:numPr>
          <w:ilvl w:val="0"/>
          <w:numId w:val="2"/>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The Department directs the disbursement from the Conservation and Load Management Fund as provided in the chart below, adjusted for the actual interest rate on day of bond issue.  Payments shall be made to CRRA in equal semi-annual installments.  CRRA may rely upon this directive in issuing bonds for this market transformation initiative.</w:t>
      </w:r>
    </w:p>
    <w:p>
      <w:pPr>
        <w:pStyle w:val="Normal"/>
        <w:numPr>
          <w:ilvl w:val="0"/>
          <w:numId w:val="2"/>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lang w:eastAsia="en-US"/>
        </w:rPr>
      </w:pPr>
      <w:r>
        <w:rPr>
          <w:lang w:eastAsia="en-US"/>
        </w:rPr>
        <w:t xml:space="preserve">The expenditure of such funds in the amounts and at the times shown in Order No. 2 is determined to be a reasonable and prudent expenditure under Sections 16-19, 16-19e and 16-245m of the General Statutes.  The Department shall order such expenditures in the amounts set forth above, either as disbursements from the Conservation and Load Management Fund or, if necessary to repay the bonds to be issued by CRRA for this project, as expenditures from the conservation and load management programs of CL&amp;P and UI to be approved by the Department from time to time.  </w:t>
      </w:r>
    </w:p>
    <w:p>
      <w:pPr>
        <w:pStyle w:val="Normal"/>
        <w:numPr>
          <w:ilvl w:val="0"/>
          <w:numId w:val="2"/>
        </w:numPr>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lang w:eastAsia="en-US"/>
        </w:rPr>
      </w:pPr>
      <w:r>
        <w:rPr>
          <w:lang w:eastAsia="en-US"/>
        </w:rPr>
        <w:t>The Department shall neither alter nor amend the provisions of this order until the bonds issued in support of this market transformation initiative, together with interest thereon, are fully met and discharged, unless adequate provision is made for the protection of the owners or holders.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lang w:eastAsia="en-US"/>
        </w:rPr>
      </w:pPr>
      <w:r>
        <w:rPr>
          <w:lang w:eastAsia="en-US"/>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r>
        <w:br w:type="page"/>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end="1260"/>
        <w:rPr/>
      </w:pPr>
      <w:r>
        <w:rPr/>
      </w:r>
    </w:p>
    <w:p>
      <w:pPr>
        <w:pStyle w:val="Normal"/>
        <w:jc w:val="center"/>
        <w:rPr>
          <w:b/>
        </w:rPr>
      </w:pPr>
      <w:r>
        <w:rPr>
          <w:b/>
        </w:rPr>
        <w:t>Exhibit A</w:t>
      </w:r>
    </w:p>
    <w:p>
      <w:pPr>
        <w:pStyle w:val="Normal"/>
        <w:jc w:val="center"/>
        <w:rPr>
          <w:b/>
        </w:rPr>
      </w:pPr>
      <w:r>
        <w:rPr>
          <w:b/>
        </w:rPr>
      </w:r>
    </w:p>
    <w:p>
      <w:pPr>
        <w:pStyle w:val="Normal"/>
        <w:jc w:val="center"/>
        <w:rPr>
          <w:b/>
        </w:rPr>
      </w:pPr>
      <w:r>
        <w:rPr>
          <w:b/>
        </w:rPr>
        <w:t>Connecticut Renewable Requirements</w:t>
      </w:r>
    </w:p>
    <w:p>
      <w:pPr>
        <w:pStyle w:val="Normal"/>
        <w:jc w:val="center"/>
        <w:rPr>
          <w:b/>
        </w:rPr>
      </w:pPr>
      <w:r>
        <w:rPr>
          <w:b/>
        </w:rPr>
      </w:r>
    </w:p>
    <w:p>
      <w:pPr>
        <w:pStyle w:val="Normal"/>
        <w:jc w:val="both"/>
        <w:rPr/>
      </w:pPr>
      <w:r>
        <w:rPr/>
        <w:t>The total Class I and Class II requirements for the state’s load are listed below.</w:t>
      </w:r>
    </w:p>
    <w:p>
      <w:pPr>
        <w:pStyle w:val="Normal"/>
        <w:jc w:val="both"/>
        <w:rPr/>
      </w:pPr>
      <w:r>
        <w:rPr/>
      </w:r>
    </w:p>
    <w:tbl>
      <w:tblPr>
        <w:tblW w:w="9000" w:type="dxa"/>
        <w:jc w:val="start"/>
        <w:tblInd w:w="0" w:type="dxa"/>
        <w:tblLayout w:type="fixed"/>
        <w:tblCellMar>
          <w:top w:w="0" w:type="dxa"/>
          <w:start w:w="108" w:type="dxa"/>
          <w:bottom w:w="0" w:type="dxa"/>
          <w:end w:w="108" w:type="dxa"/>
        </w:tblCellMar>
      </w:tblPr>
      <w:tblGrid>
        <w:gridCol w:w="1296"/>
        <w:gridCol w:w="1296"/>
        <w:gridCol w:w="1476"/>
        <w:gridCol w:w="1721"/>
        <w:gridCol w:w="7"/>
        <w:gridCol w:w="1476"/>
        <w:gridCol w:w="1714"/>
        <w:gridCol w:w="14"/>
      </w:tblGrid>
      <w:tr>
        <w:trPr/>
        <w:tc>
          <w:tcPr>
            <w:tcW w:w="1296" w:type="dxa"/>
            <w:tcBorders/>
          </w:tcPr>
          <w:p>
            <w:pPr>
              <w:pStyle w:val="Normal"/>
              <w:snapToGrid w:val="false"/>
              <w:spacing w:before="60" w:after="60"/>
              <w:jc w:val="center"/>
              <w:rPr>
                <w:b/>
              </w:rPr>
            </w:pPr>
            <w:r>
              <w:rPr>
                <w:b/>
              </w:rPr>
            </w:r>
          </w:p>
        </w:tc>
        <w:tc>
          <w:tcPr>
            <w:tcW w:w="1296" w:type="dxa"/>
            <w:tcBorders/>
          </w:tcPr>
          <w:p>
            <w:pPr>
              <w:pStyle w:val="Normal"/>
              <w:snapToGrid w:val="false"/>
              <w:spacing w:before="60" w:after="60"/>
              <w:jc w:val="center"/>
              <w:rPr>
                <w:b/>
              </w:rPr>
            </w:pPr>
            <w:r>
              <w:rPr>
                <w:b/>
              </w:rPr>
            </w:r>
          </w:p>
        </w:tc>
        <w:tc>
          <w:tcPr>
            <w:tcW w:w="3197" w:type="dxa"/>
            <w:gridSpan w:val="2"/>
            <w:tcBorders/>
          </w:tcPr>
          <w:p>
            <w:pPr>
              <w:pStyle w:val="Normal"/>
              <w:pBdr>
                <w:bottom w:val="single" w:sz="6" w:space="1" w:color="000000"/>
              </w:pBdr>
              <w:spacing w:before="60" w:after="60"/>
              <w:jc w:val="center"/>
              <w:rPr>
                <w:b/>
              </w:rPr>
            </w:pPr>
            <w:r>
              <w:rPr>
                <w:b/>
              </w:rPr>
              <w:t>Class I Renewables</w:t>
            </w:r>
          </w:p>
        </w:tc>
        <w:tc>
          <w:tcPr>
            <w:tcW w:w="3197" w:type="dxa"/>
            <w:gridSpan w:val="3"/>
            <w:tcBorders/>
          </w:tcPr>
          <w:p>
            <w:pPr>
              <w:pStyle w:val="Normal"/>
              <w:pBdr>
                <w:bottom w:val="single" w:sz="6" w:space="1" w:color="000000"/>
              </w:pBdr>
              <w:spacing w:before="60" w:after="60"/>
              <w:jc w:val="center"/>
              <w:rPr>
                <w:b/>
              </w:rPr>
            </w:pPr>
            <w:r>
              <w:rPr>
                <w:b/>
              </w:rPr>
              <w:t>Class I or II Renewables</w:t>
            </w:r>
          </w:p>
        </w:tc>
      </w:tr>
      <w:tr>
        <w:trPr/>
        <w:tc>
          <w:tcPr>
            <w:tcW w:w="1296" w:type="dxa"/>
            <w:tcBorders/>
          </w:tcPr>
          <w:p>
            <w:pPr>
              <w:pStyle w:val="Normal"/>
              <w:pBdr>
                <w:bottom w:val="single" w:sz="6" w:space="1" w:color="000000"/>
              </w:pBdr>
              <w:spacing w:before="60" w:after="60"/>
              <w:jc w:val="center"/>
              <w:rPr/>
            </w:pPr>
            <w:r>
              <w:rPr/>
              <w:t>From</w:t>
            </w:r>
          </w:p>
        </w:tc>
        <w:tc>
          <w:tcPr>
            <w:tcW w:w="1296" w:type="dxa"/>
            <w:tcBorders/>
          </w:tcPr>
          <w:p>
            <w:pPr>
              <w:pStyle w:val="Normal"/>
              <w:pBdr>
                <w:bottom w:val="single" w:sz="6" w:space="1" w:color="000000"/>
              </w:pBdr>
              <w:spacing w:before="60" w:after="60"/>
              <w:jc w:val="center"/>
              <w:rPr/>
            </w:pPr>
            <w:r>
              <w:rPr/>
              <w:t>To</w:t>
            </w:r>
          </w:p>
        </w:tc>
        <w:tc>
          <w:tcPr>
            <w:tcW w:w="1476" w:type="dxa"/>
            <w:tcBorders/>
          </w:tcPr>
          <w:p>
            <w:pPr>
              <w:pStyle w:val="Normal"/>
              <w:pBdr>
                <w:bottom w:val="single" w:sz="6" w:space="1" w:color="000000"/>
              </w:pBdr>
              <w:spacing w:before="60" w:after="60"/>
              <w:jc w:val="center"/>
              <w:rPr/>
            </w:pPr>
            <w:r>
              <w:rPr/>
              <w:t>% Required</w:t>
            </w:r>
          </w:p>
        </w:tc>
        <w:tc>
          <w:tcPr>
            <w:tcW w:w="1728" w:type="dxa"/>
            <w:gridSpan w:val="2"/>
            <w:tcBorders/>
          </w:tcPr>
          <w:p>
            <w:pPr>
              <w:pStyle w:val="Normal"/>
              <w:pBdr>
                <w:bottom w:val="single" w:sz="6" w:space="1" w:color="000000"/>
              </w:pBdr>
              <w:spacing w:before="60" w:after="60"/>
              <w:jc w:val="center"/>
              <w:rPr/>
            </w:pPr>
            <w:r>
              <w:rPr/>
              <w:t>MW Required</w:t>
            </w:r>
          </w:p>
        </w:tc>
        <w:tc>
          <w:tcPr>
            <w:tcW w:w="1476" w:type="dxa"/>
            <w:tcBorders/>
          </w:tcPr>
          <w:p>
            <w:pPr>
              <w:pStyle w:val="Normal"/>
              <w:pBdr>
                <w:bottom w:val="single" w:sz="6" w:space="1" w:color="000000"/>
              </w:pBdr>
              <w:spacing w:before="60" w:after="60"/>
              <w:jc w:val="center"/>
              <w:rPr/>
            </w:pPr>
            <w:r>
              <w:rPr/>
              <w:t>% Required</w:t>
            </w:r>
          </w:p>
        </w:tc>
        <w:tc>
          <w:tcPr>
            <w:tcW w:w="1728" w:type="dxa"/>
            <w:tcBorders/>
          </w:tcPr>
          <w:p>
            <w:pPr>
              <w:pStyle w:val="Normal"/>
              <w:pBdr>
                <w:bottom w:val="single" w:sz="6" w:space="1" w:color="000000"/>
              </w:pBdr>
              <w:spacing w:before="60" w:after="60"/>
              <w:jc w:val="center"/>
              <w:rPr/>
            </w:pPr>
            <w:r>
              <w:rPr/>
              <w:t>MW Required</w:t>
            </w:r>
          </w:p>
        </w:tc>
      </w:tr>
      <w:tr>
        <w:trPr/>
        <w:tc>
          <w:tcPr>
            <w:tcW w:w="1296" w:type="dxa"/>
            <w:tcBorders/>
          </w:tcPr>
          <w:p>
            <w:pPr>
              <w:pStyle w:val="Normal"/>
              <w:spacing w:before="60" w:after="60"/>
              <w:jc w:val="center"/>
              <w:rPr/>
            </w:pPr>
            <w:r>
              <w:rPr/>
              <w:t>1/1/00</w:t>
            </w:r>
          </w:p>
        </w:tc>
        <w:tc>
          <w:tcPr>
            <w:tcW w:w="1296" w:type="dxa"/>
            <w:tcBorders/>
          </w:tcPr>
          <w:p>
            <w:pPr>
              <w:pStyle w:val="Normal"/>
              <w:spacing w:before="60" w:after="60"/>
              <w:jc w:val="center"/>
              <w:rPr/>
            </w:pPr>
            <w:r>
              <w:rPr/>
              <w:t>6/30/01</w:t>
            </w:r>
          </w:p>
        </w:tc>
        <w:tc>
          <w:tcPr>
            <w:tcW w:w="1476" w:type="dxa"/>
            <w:tcBorders/>
          </w:tcPr>
          <w:p>
            <w:pPr>
              <w:pStyle w:val="Normal"/>
              <w:spacing w:before="60" w:after="60"/>
              <w:jc w:val="center"/>
              <w:rPr/>
            </w:pPr>
            <w:r>
              <w:rPr/>
              <w:t>0.50%</w:t>
            </w:r>
          </w:p>
        </w:tc>
        <w:tc>
          <w:tcPr>
            <w:tcW w:w="1728" w:type="dxa"/>
            <w:gridSpan w:val="2"/>
            <w:tcBorders/>
          </w:tcPr>
          <w:p>
            <w:pPr>
              <w:pStyle w:val="Normal"/>
              <w:spacing w:before="60" w:after="60"/>
              <w:jc w:val="center"/>
              <w:rPr/>
            </w:pPr>
            <w:r>
              <w:rPr/>
              <w:t>29.0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7/1/01</w:t>
            </w:r>
          </w:p>
        </w:tc>
        <w:tc>
          <w:tcPr>
            <w:tcW w:w="1296" w:type="dxa"/>
            <w:tcBorders/>
          </w:tcPr>
          <w:p>
            <w:pPr>
              <w:pStyle w:val="Normal"/>
              <w:spacing w:before="60" w:after="60"/>
              <w:jc w:val="center"/>
              <w:rPr/>
            </w:pPr>
            <w:r>
              <w:rPr/>
              <w:t>6/30/02</w:t>
            </w:r>
          </w:p>
        </w:tc>
        <w:tc>
          <w:tcPr>
            <w:tcW w:w="1476" w:type="dxa"/>
            <w:tcBorders/>
          </w:tcPr>
          <w:p>
            <w:pPr>
              <w:pStyle w:val="Normal"/>
              <w:spacing w:before="60" w:after="60"/>
              <w:jc w:val="center"/>
              <w:rPr/>
            </w:pPr>
            <w:r>
              <w:rPr/>
              <w:t>0.75%</w:t>
            </w:r>
          </w:p>
        </w:tc>
        <w:tc>
          <w:tcPr>
            <w:tcW w:w="1728" w:type="dxa"/>
            <w:gridSpan w:val="2"/>
            <w:tcBorders/>
          </w:tcPr>
          <w:p>
            <w:pPr>
              <w:pStyle w:val="Normal"/>
              <w:spacing w:before="60" w:after="60"/>
              <w:jc w:val="center"/>
              <w:rPr/>
            </w:pPr>
            <w:r>
              <w:rPr/>
              <w:t>43.5</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7/1/02</w:t>
            </w:r>
          </w:p>
        </w:tc>
        <w:tc>
          <w:tcPr>
            <w:tcW w:w="1296" w:type="dxa"/>
            <w:tcBorders/>
          </w:tcPr>
          <w:p>
            <w:pPr>
              <w:pStyle w:val="Normal"/>
              <w:spacing w:before="60" w:after="60"/>
              <w:jc w:val="center"/>
              <w:rPr/>
            </w:pPr>
            <w:r>
              <w:rPr/>
              <w:t>6/30/03</w:t>
            </w:r>
          </w:p>
        </w:tc>
        <w:tc>
          <w:tcPr>
            <w:tcW w:w="1476" w:type="dxa"/>
            <w:tcBorders/>
          </w:tcPr>
          <w:p>
            <w:pPr>
              <w:pStyle w:val="Normal"/>
              <w:spacing w:before="60" w:after="60"/>
              <w:jc w:val="center"/>
              <w:rPr/>
            </w:pPr>
            <w:r>
              <w:rPr/>
              <w:t>1.00%</w:t>
            </w:r>
          </w:p>
        </w:tc>
        <w:tc>
          <w:tcPr>
            <w:tcW w:w="1728" w:type="dxa"/>
            <w:gridSpan w:val="2"/>
            <w:tcBorders/>
          </w:tcPr>
          <w:p>
            <w:pPr>
              <w:pStyle w:val="Normal"/>
              <w:spacing w:before="60" w:after="60"/>
              <w:jc w:val="center"/>
              <w:rPr/>
            </w:pPr>
            <w:r>
              <w:rPr/>
              <w:t>58.0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7/1/03</w:t>
            </w:r>
          </w:p>
        </w:tc>
        <w:tc>
          <w:tcPr>
            <w:tcW w:w="1296" w:type="dxa"/>
            <w:tcBorders/>
          </w:tcPr>
          <w:p>
            <w:pPr>
              <w:pStyle w:val="Normal"/>
              <w:spacing w:before="60" w:after="60"/>
              <w:jc w:val="center"/>
              <w:rPr/>
            </w:pPr>
            <w:r>
              <w:rPr/>
              <w:t>6/30/04</w:t>
            </w:r>
          </w:p>
        </w:tc>
        <w:tc>
          <w:tcPr>
            <w:tcW w:w="1476" w:type="dxa"/>
            <w:tcBorders/>
          </w:tcPr>
          <w:p>
            <w:pPr>
              <w:pStyle w:val="Normal"/>
              <w:spacing w:before="60" w:after="60"/>
              <w:jc w:val="center"/>
              <w:rPr/>
            </w:pPr>
            <w:r>
              <w:rPr/>
              <w:t>1.50%</w:t>
            </w:r>
          </w:p>
        </w:tc>
        <w:tc>
          <w:tcPr>
            <w:tcW w:w="1728" w:type="dxa"/>
            <w:gridSpan w:val="2"/>
            <w:tcBorders/>
          </w:tcPr>
          <w:p>
            <w:pPr>
              <w:pStyle w:val="Normal"/>
              <w:spacing w:before="60" w:after="60"/>
              <w:jc w:val="center"/>
              <w:rPr/>
            </w:pPr>
            <w:r>
              <w:rPr/>
              <w:t>87.0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7/1/04</w:t>
            </w:r>
          </w:p>
        </w:tc>
        <w:tc>
          <w:tcPr>
            <w:tcW w:w="1296" w:type="dxa"/>
            <w:tcBorders/>
          </w:tcPr>
          <w:p>
            <w:pPr>
              <w:pStyle w:val="Normal"/>
              <w:spacing w:before="60" w:after="60"/>
              <w:jc w:val="center"/>
              <w:rPr/>
            </w:pPr>
            <w:r>
              <w:rPr/>
              <w:t>6/30/05</w:t>
            </w:r>
          </w:p>
        </w:tc>
        <w:tc>
          <w:tcPr>
            <w:tcW w:w="1476" w:type="dxa"/>
            <w:tcBorders/>
          </w:tcPr>
          <w:p>
            <w:pPr>
              <w:pStyle w:val="Normal"/>
              <w:spacing w:before="60" w:after="60"/>
              <w:jc w:val="center"/>
              <w:rPr/>
            </w:pPr>
            <w:r>
              <w:rPr/>
              <w:t>2.00%</w:t>
            </w:r>
          </w:p>
        </w:tc>
        <w:tc>
          <w:tcPr>
            <w:tcW w:w="1728" w:type="dxa"/>
            <w:gridSpan w:val="2"/>
            <w:tcBorders/>
          </w:tcPr>
          <w:p>
            <w:pPr>
              <w:pStyle w:val="Normal"/>
              <w:spacing w:before="60" w:after="60"/>
              <w:jc w:val="center"/>
              <w:rPr/>
            </w:pPr>
            <w:r>
              <w:rPr/>
              <w:t>116.0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7/1/05</w:t>
            </w:r>
          </w:p>
        </w:tc>
        <w:tc>
          <w:tcPr>
            <w:tcW w:w="1296" w:type="dxa"/>
            <w:tcBorders/>
          </w:tcPr>
          <w:p>
            <w:pPr>
              <w:pStyle w:val="Normal"/>
              <w:spacing w:before="60" w:after="60"/>
              <w:jc w:val="center"/>
              <w:rPr/>
            </w:pPr>
            <w:r>
              <w:rPr/>
              <w:t>6/30/06</w:t>
            </w:r>
          </w:p>
        </w:tc>
        <w:tc>
          <w:tcPr>
            <w:tcW w:w="1476" w:type="dxa"/>
            <w:tcBorders/>
          </w:tcPr>
          <w:p>
            <w:pPr>
              <w:pStyle w:val="Normal"/>
              <w:spacing w:before="60" w:after="60"/>
              <w:jc w:val="center"/>
              <w:rPr/>
            </w:pPr>
            <w:r>
              <w:rPr/>
              <w:t>2.50%</w:t>
            </w:r>
          </w:p>
        </w:tc>
        <w:tc>
          <w:tcPr>
            <w:tcW w:w="1728" w:type="dxa"/>
            <w:gridSpan w:val="2"/>
            <w:tcBorders/>
          </w:tcPr>
          <w:p>
            <w:pPr>
              <w:pStyle w:val="Normal"/>
              <w:spacing w:before="60" w:after="60"/>
              <w:jc w:val="center"/>
              <w:rPr/>
            </w:pPr>
            <w:r>
              <w:rPr/>
              <w:t>145.0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7/1/06</w:t>
            </w:r>
          </w:p>
        </w:tc>
        <w:tc>
          <w:tcPr>
            <w:tcW w:w="1296" w:type="dxa"/>
            <w:tcBorders/>
          </w:tcPr>
          <w:p>
            <w:pPr>
              <w:pStyle w:val="Normal"/>
              <w:spacing w:before="60" w:after="60"/>
              <w:jc w:val="center"/>
              <w:rPr/>
            </w:pPr>
            <w:r>
              <w:rPr/>
              <w:t>6/30/07</w:t>
            </w:r>
          </w:p>
        </w:tc>
        <w:tc>
          <w:tcPr>
            <w:tcW w:w="1476" w:type="dxa"/>
            <w:tcBorders/>
          </w:tcPr>
          <w:p>
            <w:pPr>
              <w:pStyle w:val="Normal"/>
              <w:spacing w:before="60" w:after="60"/>
              <w:jc w:val="center"/>
              <w:rPr/>
            </w:pPr>
            <w:r>
              <w:rPr/>
              <w:t>3.00%</w:t>
            </w:r>
          </w:p>
        </w:tc>
        <w:tc>
          <w:tcPr>
            <w:tcW w:w="1728" w:type="dxa"/>
            <w:gridSpan w:val="2"/>
            <w:tcBorders/>
          </w:tcPr>
          <w:p>
            <w:pPr>
              <w:pStyle w:val="Normal"/>
              <w:spacing w:before="60" w:after="60"/>
              <w:jc w:val="center"/>
              <w:rPr/>
            </w:pPr>
            <w:r>
              <w:rPr/>
              <w:t>174.0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7/1/07</w:t>
            </w:r>
          </w:p>
        </w:tc>
        <w:tc>
          <w:tcPr>
            <w:tcW w:w="1296" w:type="dxa"/>
            <w:tcBorders/>
          </w:tcPr>
          <w:p>
            <w:pPr>
              <w:pStyle w:val="Normal"/>
              <w:spacing w:before="60" w:after="60"/>
              <w:jc w:val="center"/>
              <w:rPr/>
            </w:pPr>
            <w:r>
              <w:rPr/>
              <w:t>6/30/08</w:t>
            </w:r>
          </w:p>
        </w:tc>
        <w:tc>
          <w:tcPr>
            <w:tcW w:w="1476" w:type="dxa"/>
            <w:tcBorders/>
          </w:tcPr>
          <w:p>
            <w:pPr>
              <w:pStyle w:val="Normal"/>
              <w:spacing w:before="60" w:after="60"/>
              <w:jc w:val="center"/>
              <w:rPr/>
            </w:pPr>
            <w:r>
              <w:rPr/>
              <w:t>4.00%</w:t>
            </w:r>
          </w:p>
        </w:tc>
        <w:tc>
          <w:tcPr>
            <w:tcW w:w="1728" w:type="dxa"/>
            <w:gridSpan w:val="2"/>
            <w:tcBorders/>
          </w:tcPr>
          <w:p>
            <w:pPr>
              <w:pStyle w:val="Normal"/>
              <w:spacing w:before="60" w:after="60"/>
              <w:jc w:val="center"/>
              <w:rPr/>
            </w:pPr>
            <w:r>
              <w:rPr/>
              <w:t>232.0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7/1/08</w:t>
            </w:r>
          </w:p>
        </w:tc>
        <w:tc>
          <w:tcPr>
            <w:tcW w:w="1296" w:type="dxa"/>
            <w:tcBorders/>
          </w:tcPr>
          <w:p>
            <w:pPr>
              <w:pStyle w:val="Normal"/>
              <w:spacing w:before="60" w:after="60"/>
              <w:jc w:val="center"/>
              <w:rPr/>
            </w:pPr>
            <w:r>
              <w:rPr/>
              <w:t>6/30/09</w:t>
            </w:r>
          </w:p>
        </w:tc>
        <w:tc>
          <w:tcPr>
            <w:tcW w:w="1476" w:type="dxa"/>
            <w:tcBorders/>
          </w:tcPr>
          <w:p>
            <w:pPr>
              <w:pStyle w:val="Normal"/>
              <w:spacing w:before="60" w:after="60"/>
              <w:jc w:val="center"/>
              <w:rPr/>
            </w:pPr>
            <w:r>
              <w:rPr/>
              <w:t>5.00%</w:t>
            </w:r>
          </w:p>
        </w:tc>
        <w:tc>
          <w:tcPr>
            <w:tcW w:w="1728" w:type="dxa"/>
            <w:gridSpan w:val="2"/>
            <w:tcBorders/>
          </w:tcPr>
          <w:p>
            <w:pPr>
              <w:pStyle w:val="Normal"/>
              <w:spacing w:before="60" w:after="60"/>
              <w:jc w:val="center"/>
              <w:rPr/>
            </w:pPr>
            <w:r>
              <w:rPr/>
              <w:t>290.0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7/1/09</w:t>
            </w:r>
          </w:p>
        </w:tc>
        <w:tc>
          <w:tcPr>
            <w:tcW w:w="1296" w:type="dxa"/>
            <w:tcBorders/>
          </w:tcPr>
          <w:p>
            <w:pPr>
              <w:pStyle w:val="Normal"/>
              <w:spacing w:before="60" w:after="60"/>
              <w:jc w:val="center"/>
              <w:rPr/>
            </w:pPr>
            <w:r>
              <w:rPr/>
              <w:t>Thereafter</w:t>
            </w:r>
          </w:p>
        </w:tc>
        <w:tc>
          <w:tcPr>
            <w:tcW w:w="1476" w:type="dxa"/>
            <w:tcBorders/>
          </w:tcPr>
          <w:p>
            <w:pPr>
              <w:pStyle w:val="Normal"/>
              <w:spacing w:before="60" w:after="60"/>
              <w:jc w:val="center"/>
              <w:rPr/>
            </w:pPr>
            <w:r>
              <w:rPr/>
              <w:t>6.00%</w:t>
            </w:r>
          </w:p>
        </w:tc>
        <w:tc>
          <w:tcPr>
            <w:tcW w:w="1728" w:type="dxa"/>
            <w:gridSpan w:val="2"/>
            <w:tcBorders/>
          </w:tcPr>
          <w:p>
            <w:pPr>
              <w:pStyle w:val="Normal"/>
              <w:spacing w:before="60" w:after="60"/>
              <w:jc w:val="center"/>
              <w:rPr/>
            </w:pPr>
            <w:r>
              <w:rPr/>
              <w:t>348.0</w:t>
            </w:r>
          </w:p>
        </w:tc>
        <w:tc>
          <w:tcPr>
            <w:tcW w:w="1476" w:type="dxa"/>
            <w:tcBorders/>
          </w:tcPr>
          <w:p>
            <w:pPr>
              <w:pStyle w:val="Normal"/>
              <w:spacing w:before="60" w:after="60"/>
              <w:jc w:val="center"/>
              <w:rPr/>
            </w:pPr>
            <w:r>
              <w:rPr/>
              <w:t>7.00%</w:t>
            </w:r>
          </w:p>
        </w:tc>
        <w:tc>
          <w:tcPr>
            <w:tcW w:w="1728" w:type="dxa"/>
            <w:tcBorders/>
          </w:tcPr>
          <w:p>
            <w:pPr>
              <w:pStyle w:val="Normal"/>
              <w:spacing w:before="60" w:after="60"/>
              <w:jc w:val="center"/>
              <w:rPr/>
            </w:pPr>
            <w:r>
              <w:rPr/>
              <w:t>406.0</w:t>
            </w:r>
          </w:p>
        </w:tc>
      </w:tr>
    </w:tbl>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r>
        <w:br w:type="page"/>
      </w:r>
    </w:p>
    <w:p>
      <w:pPr>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rFonts w:eastAsia="CG Times;Times New Roman"/>
        </w:rPr>
      </w:pPr>
      <w:r>
        <w:rPr>
          <w:rFonts w:eastAsia="CG Times;Times New Roman"/>
        </w:rPr>
        <w:t xml:space="preser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t>CONFIDENTIAL/PROPRIETARY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t>FILED UNDER PROTECTIVE ORDER</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r>
    </w:p>
    <w:p>
      <w:pPr>
        <w:pStyle w:val="Normal"/>
        <w:jc w:val="center"/>
        <w:rPr>
          <w:b/>
        </w:rPr>
      </w:pPr>
      <w:r>
        <w:rPr>
          <w:b/>
        </w:rPr>
        <w:t>Exhibit B</w:t>
      </w:r>
    </w:p>
    <w:p>
      <w:pPr>
        <w:pStyle w:val="Normal"/>
        <w:jc w:val="center"/>
        <w:rPr>
          <w:b/>
          <w:sz w:val="32"/>
        </w:rPr>
      </w:pPr>
      <w:r>
        <w:rPr>
          <w:b/>
          <w:sz w:val="32"/>
        </w:rPr>
        <w:t xml:space="preserve">Expected All-In Cost per Plant </w:t>
      </w:r>
    </w:p>
    <w:p>
      <w:pPr>
        <w:pStyle w:val="Normal"/>
        <w:rPr>
          <w:b/>
          <w:sz w:val="32"/>
        </w:rPr>
      </w:pPr>
      <w:r>
        <w:rPr>
          <w:b/>
          <w:sz w:val="32"/>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10710" w:leader="none"/>
        </w:tabs>
        <w:ind w:start="-720" w:end="1260"/>
        <w:rPr>
          <w:lang w:val="en-CA"/>
        </w:rPr>
      </w:pPr>
      <w:r>
        <w:rPr>
          <w:lang w:val="en-CA"/>
        </w:rPr>
      </w:r>
    </w:p>
    <w:p>
      <w:pPr>
        <w:sectPr>
          <w:footerReference w:type="default" r:id="rId6"/>
          <w:footerReference w:type="first" r:id="rId7"/>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ind w:end="1260"/>
        <w:rPr>
          <w:lang w:val="en-CA"/>
        </w:rPr>
      </w:pPr>
      <w:r>
        <w:rPr>
          <w:lang w:val="en-CA"/>
        </w:rPr>
      </w:r>
    </w:p>
    <w:p>
      <w:pPr>
        <w:pStyle w:val="Normal"/>
        <w:ind w:end="1260"/>
        <w:rPr>
          <w:lang w:val="en-CA"/>
        </w:rPr>
      </w:pPr>
      <w:r>
        <w:rPr>
          <w:lang w:val="en-CA"/>
        </w:rPr>
      </w:r>
    </w:p>
    <w:p>
      <w:pPr>
        <w:pStyle w:val="Normal"/>
        <w:ind w:end="1260"/>
        <w:jc w:val="center"/>
        <w:rPr>
          <w:b/>
        </w:rPr>
      </w:pPr>
      <w:r>
        <w:rPr>
          <w:b/>
        </w:rPr>
        <w:t>Exhibit C</w:t>
      </w:r>
    </w:p>
    <w:p>
      <w:pPr>
        <w:pStyle w:val="Normal"/>
        <w:ind w:end="1260"/>
        <w:jc w:val="center"/>
        <w:rPr>
          <w:b/>
          <w:sz w:val="32"/>
        </w:rPr>
      </w:pPr>
      <w:r>
        <w:rPr>
          <w:b/>
          <w:sz w:val="32"/>
        </w:rPr>
        <w:t>Project Costs</w:t>
      </w:r>
    </w:p>
    <w:p>
      <w:pPr>
        <w:pStyle w:val="Normal"/>
        <w:ind w:end="1260"/>
        <w:rPr>
          <w:b/>
          <w:sz w:val="32"/>
        </w:rPr>
      </w:pPr>
      <w:r>
        <w:rPr>
          <w:b/>
          <w:sz w:val="32"/>
        </w:rPr>
      </w:r>
    </w:p>
    <w:p>
      <w:pPr>
        <w:pStyle w:val="Normal"/>
        <w:ind w:end="1260"/>
        <w:rPr/>
      </w:pPr>
      <w:r>
        <w:rPr/>
      </w:r>
    </w:p>
    <w:p>
      <w:pPr>
        <w:pStyle w:val="Normal"/>
        <w:ind w:end="1260"/>
        <w:rPr/>
      </w:pPr>
      <w:r>
        <w:rPr/>
      </w:r>
    </w:p>
    <w:tbl>
      <w:tblPr>
        <w:tblW w:w="7578" w:type="dxa"/>
        <w:jc w:val="start"/>
        <w:tblInd w:w="0" w:type="dxa"/>
        <w:tblLayout w:type="fixed"/>
        <w:tblCellMar>
          <w:top w:w="0" w:type="dxa"/>
          <w:start w:w="108" w:type="dxa"/>
          <w:bottom w:w="0" w:type="dxa"/>
          <w:end w:w="108" w:type="dxa"/>
        </w:tblCellMar>
      </w:tblPr>
      <w:tblGrid>
        <w:gridCol w:w="4518"/>
        <w:gridCol w:w="3060"/>
      </w:tblGrid>
      <w:tr>
        <w:trPr/>
        <w:tc>
          <w:tcPr>
            <w:tcW w:w="4518" w:type="dxa"/>
            <w:tcBorders>
              <w:top w:val="single" w:sz="6" w:space="0" w:color="000000"/>
              <w:start w:val="single" w:sz="6" w:space="0" w:color="000000"/>
            </w:tcBorders>
          </w:tcPr>
          <w:p>
            <w:pPr>
              <w:pStyle w:val="Normal"/>
              <w:spacing w:before="60" w:after="60"/>
              <w:ind w:end="1260"/>
              <w:rPr/>
            </w:pPr>
            <w:r>
              <w:rPr/>
              <w:t xml:space="preserve">Total Installation Costs, </w:t>
              <w:br/>
              <w:t>Incl. Balance of Plant Costs</w:t>
            </w:r>
          </w:p>
        </w:tc>
        <w:tc>
          <w:tcPr>
            <w:tcW w:w="3060" w:type="dxa"/>
            <w:tcBorders>
              <w:top w:val="single" w:sz="6" w:space="0" w:color="000000"/>
              <w:end w:val="single" w:sz="6" w:space="0" w:color="000000"/>
            </w:tcBorders>
          </w:tcPr>
          <w:p>
            <w:pPr>
              <w:pStyle w:val="Normal"/>
              <w:spacing w:before="60" w:after="60"/>
              <w:ind w:end="1260"/>
              <w:jc w:val="end"/>
              <w:rPr/>
            </w:pPr>
            <w:r>
              <w:rPr/>
              <w:br/>
              <w:t>$164,914,552</w:t>
            </w:r>
          </w:p>
        </w:tc>
      </w:tr>
      <w:tr>
        <w:trPr/>
        <w:tc>
          <w:tcPr>
            <w:tcW w:w="4518" w:type="dxa"/>
            <w:tcBorders>
              <w:start w:val="single" w:sz="6" w:space="0" w:color="000000"/>
            </w:tcBorders>
          </w:tcPr>
          <w:p>
            <w:pPr>
              <w:pStyle w:val="Heading1"/>
              <w:spacing w:before="60" w:after="60"/>
              <w:ind w:hanging="0" w:start="0" w:end="1260"/>
              <w:rPr/>
            </w:pPr>
            <w:r>
              <w:rPr/>
              <w:t>ENA Management Fee</w:t>
            </w:r>
          </w:p>
        </w:tc>
        <w:tc>
          <w:tcPr>
            <w:tcW w:w="3060" w:type="dxa"/>
            <w:tcBorders>
              <w:end w:val="single" w:sz="6" w:space="0" w:color="000000"/>
            </w:tcBorders>
          </w:tcPr>
          <w:p>
            <w:pPr>
              <w:pStyle w:val="Normal"/>
              <w:spacing w:before="60" w:after="60"/>
              <w:ind w:end="1260"/>
              <w:jc w:val="end"/>
              <w:rPr/>
            </w:pPr>
            <w:r>
              <w:rPr/>
              <w:t>$16,300,000</w:t>
            </w:r>
          </w:p>
        </w:tc>
      </w:tr>
      <w:tr>
        <w:trPr/>
        <w:tc>
          <w:tcPr>
            <w:tcW w:w="4518" w:type="dxa"/>
            <w:tcBorders>
              <w:start w:val="single" w:sz="6" w:space="0" w:color="000000"/>
            </w:tcBorders>
          </w:tcPr>
          <w:p>
            <w:pPr>
              <w:pStyle w:val="Heading1"/>
              <w:spacing w:before="60" w:after="60"/>
              <w:ind w:hanging="0" w:start="0" w:end="1260"/>
              <w:rPr/>
            </w:pPr>
            <w:r>
              <w:rPr/>
              <w:t>Project Contingency</w:t>
            </w:r>
          </w:p>
        </w:tc>
        <w:tc>
          <w:tcPr>
            <w:tcW w:w="3060" w:type="dxa"/>
            <w:tcBorders>
              <w:end w:val="single" w:sz="6" w:space="0" w:color="000000"/>
            </w:tcBorders>
          </w:tcPr>
          <w:p>
            <w:pPr>
              <w:pStyle w:val="Normal"/>
              <w:pBdr>
                <w:bottom w:val="single" w:sz="6" w:space="1" w:color="000000"/>
              </w:pBdr>
              <w:spacing w:before="60" w:after="60"/>
              <w:ind w:end="1260"/>
              <w:jc w:val="end"/>
              <w:rPr/>
            </w:pPr>
            <w:r>
              <w:rPr/>
              <w:t>$5,000,000</w:t>
            </w:r>
          </w:p>
        </w:tc>
      </w:tr>
      <w:tr>
        <w:trPr/>
        <w:tc>
          <w:tcPr>
            <w:tcW w:w="4518" w:type="dxa"/>
            <w:tcBorders>
              <w:start w:val="single" w:sz="6" w:space="0" w:color="000000"/>
              <w:bottom w:val="single" w:sz="6" w:space="0" w:color="000000"/>
            </w:tcBorders>
          </w:tcPr>
          <w:p>
            <w:pPr>
              <w:pStyle w:val="Normal"/>
              <w:spacing w:before="60" w:after="60"/>
              <w:ind w:end="1260"/>
              <w:rPr/>
            </w:pPr>
            <w:r>
              <w:rPr/>
              <w:t>Total Project Cost</w:t>
            </w:r>
          </w:p>
        </w:tc>
        <w:tc>
          <w:tcPr>
            <w:tcW w:w="3060" w:type="dxa"/>
            <w:tcBorders>
              <w:bottom w:val="single" w:sz="6" w:space="0" w:color="000000"/>
              <w:end w:val="single" w:sz="6" w:space="0" w:color="000000"/>
            </w:tcBorders>
          </w:tcPr>
          <w:p>
            <w:pPr>
              <w:pStyle w:val="Normal"/>
              <w:spacing w:before="60" w:after="60"/>
              <w:ind w:end="1260"/>
              <w:jc w:val="end"/>
              <w:rPr/>
            </w:pPr>
            <w:r>
              <w:rPr/>
              <w:t>$186,214,552</w:t>
            </w:r>
          </w:p>
        </w:tc>
      </w:tr>
      <w:tr>
        <w:trPr/>
        <w:tc>
          <w:tcPr>
            <w:tcW w:w="4518" w:type="dxa"/>
            <w:tcBorders/>
          </w:tcPr>
          <w:p>
            <w:pPr>
              <w:pStyle w:val="Normal"/>
              <w:snapToGrid w:val="false"/>
              <w:spacing w:before="60" w:after="60"/>
              <w:ind w:end="1260"/>
              <w:rPr/>
            </w:pPr>
            <w:r>
              <w:rPr/>
            </w:r>
          </w:p>
        </w:tc>
        <w:tc>
          <w:tcPr>
            <w:tcW w:w="3060" w:type="dxa"/>
            <w:tcBorders/>
          </w:tcPr>
          <w:p>
            <w:pPr>
              <w:pStyle w:val="Normal"/>
              <w:snapToGrid w:val="false"/>
              <w:spacing w:before="60" w:after="60"/>
              <w:ind w:end="1260"/>
              <w:jc w:val="end"/>
              <w:rPr/>
            </w:pPr>
            <w:r>
              <w:rPr/>
            </w:r>
          </w:p>
        </w:tc>
      </w:tr>
    </w:tbl>
    <w:p>
      <w:pPr>
        <w:pStyle w:val="Normal"/>
        <w:ind w:end="1260"/>
        <w:rPr/>
      </w:pPr>
      <w:r>
        <w:rPr/>
        <w:t>Note:  Additional expenditures or refunds associated with fuel cell stack replacement will be made on a reconciling basis in accordance with actual revenues and expenses.</w:t>
      </w:r>
    </w:p>
    <w:p>
      <w:pPr>
        <w:pStyle w:val="Heading"/>
        <w:ind w:end="1260"/>
        <w:rPr/>
      </w:pPr>
      <w:r>
        <w:rPr/>
      </w:r>
      <w:r>
        <w:br w:type="page"/>
      </w:r>
    </w:p>
    <w:p>
      <w:pPr>
        <w:pStyle w:val="Normal"/>
        <w:ind w:end="1260"/>
        <w:jc w:val="center"/>
        <w:rPr>
          <w:b/>
        </w:rPr>
      </w:pPr>
      <w:r>
        <w:rPr>
          <w:b/>
        </w:rPr>
        <w:t>Exhibit D</w:t>
      </w:r>
    </w:p>
    <w:p>
      <w:pPr>
        <w:pStyle w:val="Normal"/>
        <w:ind w:end="1260"/>
        <w:jc w:val="center"/>
        <w:rPr>
          <w:b/>
          <w:sz w:val="32"/>
        </w:rPr>
      </w:pPr>
      <w:r>
        <w:rPr>
          <w:b/>
          <w:sz w:val="32"/>
        </w:rPr>
        <w:t>Percentage of Maximum Output vs. Efficiency</w:t>
      </w:r>
    </w:p>
    <w:p>
      <w:pPr>
        <w:pStyle w:val="Heading"/>
        <w:ind w:end="1260"/>
        <w:rPr>
          <w:b w:val="false"/>
          <w:sz w:val="32"/>
        </w:rPr>
      </w:pPr>
      <w:r>
        <w:rPr>
          <w:b w:val="false"/>
          <w:sz w:val="32"/>
        </w:rPr>
      </w:r>
    </w:p>
    <w:p>
      <w:pPr>
        <w:pStyle w:val="Heading"/>
        <w:ind w:end="1260"/>
        <w:rPr>
          <w:sz w:val="20"/>
          <w:lang w:val="en-CA"/>
        </w:rPr>
      </w:pPr>
      <w:r>
        <w:rPr>
          <w:sz w:val="20"/>
          <w:lang w:val="en-CA"/>
        </w:rPr>
        <w:drawing>
          <wp:anchor behindDoc="0" distT="0" distB="0" distL="114935" distR="114935" simplePos="0" locked="0" layoutInCell="1" allowOverlap="1" relativeHeight="2">
            <wp:simplePos x="0" y="0"/>
            <wp:positionH relativeFrom="column">
              <wp:posOffset>-640080</wp:posOffset>
            </wp:positionH>
            <wp:positionV relativeFrom="paragraph">
              <wp:posOffset>-2540</wp:posOffset>
            </wp:positionV>
            <wp:extent cx="6830695" cy="47879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8"/>
                    <a:srcRect l="-4" t="-6" r="-4" b="-6"/>
                    <a:stretch>
                      <a:fillRect/>
                    </a:stretch>
                  </pic:blipFill>
                  <pic:spPr bwMode="auto">
                    <a:xfrm>
                      <a:off x="0" y="0"/>
                      <a:ext cx="6830695" cy="4787900"/>
                    </a:xfrm>
                    <a:prstGeom prst="rect">
                      <a:avLst/>
                    </a:prstGeom>
                    <a:noFill/>
                  </pic:spPr>
                </pic:pic>
              </a:graphicData>
            </a:graphic>
          </wp:anchor>
        </w:drawing>
      </w:r>
    </w:p>
    <w:p>
      <w:pPr>
        <w:pStyle w:val="Heading"/>
        <w:ind w:end="1260"/>
        <w:rPr>
          <w:sz w:val="20"/>
        </w:rPr>
      </w:pPr>
      <w:r>
        <w:rPr>
          <w:sz w:val="20"/>
        </w:rPr>
      </w:r>
    </w:p>
    <w:p>
      <w:pPr>
        <w:pStyle w:val="Heading"/>
        <w:ind w:end="1260"/>
        <w:rPr>
          <w:sz w:val="20"/>
        </w:rPr>
      </w:pPr>
      <w:r>
        <w:rPr>
          <w:sz w:val="20"/>
        </w:rPr>
      </w:r>
    </w:p>
    <w:p>
      <w:pPr>
        <w:pStyle w:val="Heading"/>
        <w:ind w:end="1260"/>
        <w:rPr>
          <w:sz w:val="20"/>
        </w:rPr>
      </w:pPr>
      <w:r>
        <w:rPr>
          <w:sz w:val="20"/>
        </w:rPr>
      </w:r>
      <w:r>
        <w:br w:type="page"/>
      </w:r>
    </w:p>
    <w:p>
      <w:pPr>
        <w:pStyle w:val="Heading"/>
        <w:ind w:end="1260"/>
        <w:rPr>
          <w:rFonts w:ascii="CG Times;Times New Roman" w:hAnsi="CG Times;Times New Roman" w:cs="CG Times;Times New Roman"/>
          <w:sz w:val="24"/>
        </w:rPr>
      </w:pPr>
      <w:r>
        <w:rPr>
          <w:rFonts w:cs="CG Times;Times New Roman" w:ascii="CG Times;Times New Roman" w:hAnsi="CG Times;Times New Roman"/>
          <w:sz w:val="24"/>
        </w:rPr>
        <w:t>Exhibit E</w:t>
      </w:r>
    </w:p>
    <w:p>
      <w:pPr>
        <w:pStyle w:val="Heading"/>
        <w:ind w:end="1260"/>
        <w:rPr/>
      </w:pPr>
      <w:r>
        <w:rPr/>
        <w:t>Emissions Comparison Table</w:t>
      </w:r>
    </w:p>
    <w:p>
      <w:pPr>
        <w:pStyle w:val="Normal"/>
        <w:ind w:end="1260"/>
        <w:rPr>
          <w:sz w:val="22"/>
        </w:rPr>
      </w:pPr>
      <w:r>
        <w:rPr>
          <w:sz w:val="22"/>
        </w:rPr>
      </w:r>
    </w:p>
    <w:p>
      <w:pPr>
        <w:pStyle w:val="Normal"/>
        <w:rPr>
          <w:sz w:val="22"/>
        </w:rPr>
      </w:pPr>
      <w:r>
        <w:rPr>
          <w:sz w:val="22"/>
        </w:rPr>
      </w:r>
    </w:p>
    <w:p>
      <w:pPr>
        <w:pStyle w:val="Normal"/>
        <w:rPr>
          <w:sz w:val="22"/>
        </w:rPr>
      </w:pPr>
      <w:r>
        <w:rPr>
          <w:sz w:val="22"/>
        </w:rPr>
      </w:r>
    </w:p>
    <w:tbl>
      <w:tblPr>
        <w:tblW w:w="9259" w:type="dxa"/>
        <w:jc w:val="start"/>
        <w:tblInd w:w="0" w:type="dxa"/>
        <w:tblLayout w:type="fixed"/>
        <w:tblCellMar>
          <w:top w:w="0" w:type="dxa"/>
          <w:start w:w="108" w:type="dxa"/>
          <w:bottom w:w="0" w:type="dxa"/>
          <w:end w:w="108" w:type="dxa"/>
        </w:tblCellMar>
      </w:tblPr>
      <w:tblGrid>
        <w:gridCol w:w="1771"/>
        <w:gridCol w:w="1872"/>
        <w:gridCol w:w="1872"/>
        <w:gridCol w:w="1872"/>
        <w:gridCol w:w="1872"/>
      </w:tblGrid>
      <w:tr>
        <w:trPr/>
        <w:tc>
          <w:tcPr>
            <w:tcW w:w="1771" w:type="dxa"/>
            <w:tcBorders/>
          </w:tcPr>
          <w:p>
            <w:pPr>
              <w:pStyle w:val="Normal"/>
              <w:snapToGrid w:val="false"/>
              <w:jc w:val="center"/>
              <w:rPr>
                <w:b/>
                <w:sz w:val="22"/>
              </w:rPr>
            </w:pPr>
            <w:r>
              <w:rPr>
                <w:b/>
                <w:sz w:val="22"/>
              </w:rPr>
            </w:r>
          </w:p>
        </w:tc>
        <w:tc>
          <w:tcPr>
            <w:tcW w:w="1872" w:type="dxa"/>
            <w:tcBorders/>
          </w:tcPr>
          <w:p>
            <w:pPr>
              <w:pStyle w:val="Normal"/>
              <w:pBdr>
                <w:bottom w:val="single" w:sz="6" w:space="1" w:color="000000"/>
              </w:pBdr>
              <w:jc w:val="center"/>
              <w:rPr>
                <w:b/>
                <w:sz w:val="22"/>
              </w:rPr>
            </w:pPr>
            <w:r>
              <w:rPr>
                <w:b/>
                <w:sz w:val="22"/>
              </w:rPr>
              <w:br/>
              <w:t>2.0 MW Fuel Cell Plant</w:t>
            </w:r>
          </w:p>
        </w:tc>
        <w:tc>
          <w:tcPr>
            <w:tcW w:w="1872" w:type="dxa"/>
            <w:tcBorders/>
          </w:tcPr>
          <w:p>
            <w:pPr>
              <w:pStyle w:val="Normal"/>
              <w:pBdr>
                <w:bottom w:val="single" w:sz="6" w:space="1" w:color="000000"/>
              </w:pBdr>
              <w:jc w:val="center"/>
              <w:rPr>
                <w:b/>
                <w:sz w:val="22"/>
              </w:rPr>
            </w:pPr>
            <w:r>
              <w:rPr>
                <w:b/>
                <w:sz w:val="22"/>
              </w:rPr>
              <w:br/>
              <w:t xml:space="preserve">Simple-Cycle Gas Fired Plant </w:t>
            </w:r>
            <w:r>
              <w:rPr>
                <w:b/>
                <w:sz w:val="18"/>
                <w:vertAlign w:val="superscript"/>
              </w:rPr>
              <w:t>1</w:t>
            </w:r>
          </w:p>
        </w:tc>
        <w:tc>
          <w:tcPr>
            <w:tcW w:w="1872" w:type="dxa"/>
            <w:tcBorders/>
          </w:tcPr>
          <w:p>
            <w:pPr>
              <w:pStyle w:val="Normal"/>
              <w:pBdr>
                <w:bottom w:val="single" w:sz="6" w:space="1" w:color="000000"/>
              </w:pBdr>
              <w:jc w:val="center"/>
              <w:rPr>
                <w:b/>
                <w:sz w:val="22"/>
              </w:rPr>
            </w:pPr>
            <w:r>
              <w:rPr>
                <w:b/>
                <w:sz w:val="22"/>
              </w:rPr>
              <w:br/>
              <w:t xml:space="preserve">Combined-Cycle Gas Fired Plant </w:t>
            </w:r>
            <w:r>
              <w:rPr>
                <w:b/>
                <w:sz w:val="18"/>
                <w:vertAlign w:val="superscript"/>
              </w:rPr>
              <w:t>2</w:t>
            </w:r>
          </w:p>
        </w:tc>
        <w:tc>
          <w:tcPr>
            <w:tcW w:w="1872" w:type="dxa"/>
            <w:tcBorders/>
          </w:tcPr>
          <w:p>
            <w:pPr>
              <w:pStyle w:val="Normal"/>
              <w:pBdr>
                <w:bottom w:val="single" w:sz="6" w:space="1" w:color="000000"/>
              </w:pBdr>
              <w:jc w:val="center"/>
              <w:rPr>
                <w:b/>
                <w:sz w:val="22"/>
              </w:rPr>
            </w:pPr>
            <w:r>
              <w:rPr>
                <w:b/>
                <w:sz w:val="22"/>
              </w:rPr>
              <w:br/>
              <w:br/>
              <w:t>Coal Fired Plant</w:t>
            </w:r>
          </w:p>
        </w:tc>
      </w:tr>
      <w:tr>
        <w:trPr/>
        <w:tc>
          <w:tcPr>
            <w:tcW w:w="1771" w:type="dxa"/>
            <w:tcBorders/>
          </w:tcPr>
          <w:p>
            <w:pPr>
              <w:pStyle w:val="Normal"/>
              <w:rPr>
                <w:sz w:val="22"/>
              </w:rPr>
            </w:pPr>
            <w:r>
              <w:rPr>
                <w:sz w:val="22"/>
              </w:rPr>
              <w:t>NOx (ppmv)</w:t>
            </w:r>
          </w:p>
        </w:tc>
        <w:tc>
          <w:tcPr>
            <w:tcW w:w="1872" w:type="dxa"/>
            <w:tcBorders/>
          </w:tcPr>
          <w:p>
            <w:pPr>
              <w:pStyle w:val="Normal"/>
              <w:jc w:val="center"/>
              <w:rPr>
                <w:sz w:val="22"/>
              </w:rPr>
            </w:pPr>
            <w:r>
              <w:rPr>
                <w:sz w:val="22"/>
              </w:rPr>
              <w:t>&lt;0.1</w:t>
            </w:r>
          </w:p>
        </w:tc>
        <w:tc>
          <w:tcPr>
            <w:tcW w:w="1872" w:type="dxa"/>
            <w:tcBorders/>
          </w:tcPr>
          <w:p>
            <w:pPr>
              <w:pStyle w:val="Normal"/>
              <w:jc w:val="center"/>
              <w:rPr>
                <w:sz w:val="22"/>
              </w:rPr>
            </w:pPr>
            <w:r>
              <w:rPr>
                <w:sz w:val="22"/>
              </w:rPr>
              <w:t>9.0 – 25.0</w:t>
            </w:r>
          </w:p>
        </w:tc>
        <w:tc>
          <w:tcPr>
            <w:tcW w:w="1872" w:type="dxa"/>
            <w:tcBorders/>
          </w:tcPr>
          <w:p>
            <w:pPr>
              <w:pStyle w:val="Normal"/>
              <w:jc w:val="center"/>
              <w:rPr>
                <w:sz w:val="22"/>
              </w:rPr>
            </w:pPr>
            <w:r>
              <w:rPr>
                <w:sz w:val="22"/>
              </w:rPr>
              <w:t>2.5 – 25.0</w:t>
            </w:r>
          </w:p>
        </w:tc>
        <w:tc>
          <w:tcPr>
            <w:tcW w:w="1872" w:type="dxa"/>
            <w:tcBorders/>
          </w:tcPr>
          <w:p>
            <w:pPr>
              <w:pStyle w:val="Normal"/>
              <w:jc w:val="center"/>
              <w:rPr>
                <w:sz w:val="22"/>
              </w:rPr>
            </w:pPr>
            <w:r>
              <w:rPr>
                <w:sz w:val="22"/>
              </w:rPr>
              <w:t>39.9 – 171.0</w:t>
            </w:r>
          </w:p>
        </w:tc>
      </w:tr>
      <w:tr>
        <w:trPr/>
        <w:tc>
          <w:tcPr>
            <w:tcW w:w="1771" w:type="dxa"/>
            <w:tcBorders/>
          </w:tcPr>
          <w:p>
            <w:pPr>
              <w:pStyle w:val="Normal"/>
              <w:rPr>
                <w:sz w:val="22"/>
              </w:rPr>
            </w:pPr>
            <w:r>
              <w:rPr>
                <w:sz w:val="22"/>
              </w:rPr>
              <w:t>SOx (ppmv)</w:t>
            </w:r>
          </w:p>
        </w:tc>
        <w:tc>
          <w:tcPr>
            <w:tcW w:w="1872" w:type="dxa"/>
            <w:tcBorders/>
          </w:tcPr>
          <w:p>
            <w:pPr>
              <w:pStyle w:val="Normal"/>
              <w:jc w:val="center"/>
              <w:rPr>
                <w:sz w:val="22"/>
              </w:rPr>
            </w:pPr>
            <w:r>
              <w:rPr>
                <w:sz w:val="22"/>
              </w:rPr>
              <w:t>&lt;0.01</w:t>
            </w:r>
          </w:p>
        </w:tc>
        <w:tc>
          <w:tcPr>
            <w:tcW w:w="1872" w:type="dxa"/>
            <w:tcBorders/>
          </w:tcPr>
          <w:p>
            <w:pPr>
              <w:pStyle w:val="Normal"/>
              <w:jc w:val="center"/>
              <w:rPr>
                <w:sz w:val="22"/>
              </w:rPr>
            </w:pPr>
            <w:r>
              <w:rPr>
                <w:sz w:val="22"/>
              </w:rPr>
              <w:t>1</w:t>
            </w:r>
          </w:p>
        </w:tc>
        <w:tc>
          <w:tcPr>
            <w:tcW w:w="1872" w:type="dxa"/>
            <w:tcBorders/>
          </w:tcPr>
          <w:p>
            <w:pPr>
              <w:pStyle w:val="Normal"/>
              <w:jc w:val="center"/>
              <w:rPr>
                <w:sz w:val="22"/>
              </w:rPr>
            </w:pPr>
            <w:r>
              <w:rPr>
                <w:sz w:val="22"/>
              </w:rPr>
              <w:t>1</w:t>
            </w:r>
          </w:p>
        </w:tc>
        <w:tc>
          <w:tcPr>
            <w:tcW w:w="1872" w:type="dxa"/>
            <w:tcBorders/>
          </w:tcPr>
          <w:p>
            <w:pPr>
              <w:pStyle w:val="Normal"/>
              <w:jc w:val="center"/>
              <w:rPr>
                <w:sz w:val="22"/>
              </w:rPr>
            </w:pPr>
            <w:r>
              <w:rPr>
                <w:sz w:val="22"/>
              </w:rPr>
              <w:t>40.9 – 286.4</w:t>
            </w:r>
          </w:p>
        </w:tc>
      </w:tr>
      <w:tr>
        <w:trPr/>
        <w:tc>
          <w:tcPr>
            <w:tcW w:w="1771" w:type="dxa"/>
            <w:tcBorders/>
          </w:tcPr>
          <w:p>
            <w:pPr>
              <w:pStyle w:val="Normal"/>
              <w:rPr>
                <w:sz w:val="22"/>
              </w:rPr>
            </w:pPr>
            <w:r>
              <w:rPr>
                <w:sz w:val="22"/>
              </w:rPr>
              <w:t>CO (ppmv)</w:t>
            </w:r>
          </w:p>
        </w:tc>
        <w:tc>
          <w:tcPr>
            <w:tcW w:w="1872" w:type="dxa"/>
            <w:tcBorders/>
          </w:tcPr>
          <w:p>
            <w:pPr>
              <w:pStyle w:val="Normal"/>
              <w:jc w:val="center"/>
              <w:rPr>
                <w:sz w:val="22"/>
              </w:rPr>
            </w:pPr>
            <w:r>
              <w:rPr>
                <w:sz w:val="22"/>
              </w:rPr>
              <w:t>&lt;10</w:t>
            </w:r>
          </w:p>
        </w:tc>
        <w:tc>
          <w:tcPr>
            <w:tcW w:w="1872" w:type="dxa"/>
            <w:tcBorders/>
          </w:tcPr>
          <w:p>
            <w:pPr>
              <w:pStyle w:val="Normal"/>
              <w:jc w:val="center"/>
              <w:rPr>
                <w:sz w:val="22"/>
              </w:rPr>
            </w:pPr>
            <w:r>
              <w:rPr>
                <w:sz w:val="22"/>
              </w:rPr>
              <w:t>10.0 – 50.0</w:t>
            </w:r>
          </w:p>
        </w:tc>
        <w:tc>
          <w:tcPr>
            <w:tcW w:w="1872" w:type="dxa"/>
            <w:tcBorders/>
          </w:tcPr>
          <w:p>
            <w:pPr>
              <w:pStyle w:val="Normal"/>
              <w:jc w:val="center"/>
              <w:rPr>
                <w:sz w:val="22"/>
              </w:rPr>
            </w:pPr>
            <w:r>
              <w:rPr>
                <w:sz w:val="22"/>
              </w:rPr>
              <w:t>10.0 – 50.0</w:t>
            </w:r>
          </w:p>
        </w:tc>
        <w:tc>
          <w:tcPr>
            <w:tcW w:w="1872" w:type="dxa"/>
            <w:tcBorders/>
          </w:tcPr>
          <w:p>
            <w:pPr>
              <w:pStyle w:val="Normal"/>
              <w:jc w:val="center"/>
              <w:rPr>
                <w:sz w:val="22"/>
              </w:rPr>
            </w:pPr>
            <w:r>
              <w:rPr>
                <w:sz w:val="22"/>
              </w:rPr>
              <w:t>188.0</w:t>
            </w:r>
          </w:p>
        </w:tc>
      </w:tr>
    </w:tbl>
    <w:p>
      <w:pPr>
        <w:pStyle w:val="Normal"/>
        <w:rPr>
          <w:sz w:val="22"/>
        </w:rPr>
      </w:pPr>
      <w:r>
        <w:rPr>
          <w:sz w:val="22"/>
        </w:rPr>
      </w:r>
    </w:p>
    <w:p>
      <w:pPr>
        <w:pStyle w:val="Normal"/>
        <w:ind w:end="1260"/>
        <w:rPr>
          <w:sz w:val="22"/>
        </w:rPr>
      </w:pPr>
      <w:r>
        <w:rPr>
          <w:sz w:val="22"/>
        </w:rPr>
      </w:r>
    </w:p>
    <w:p>
      <w:pPr>
        <w:pStyle w:val="Normal"/>
        <w:ind w:end="1260"/>
        <w:rPr>
          <w:sz w:val="22"/>
        </w:rPr>
      </w:pPr>
      <w:r>
        <w:rPr>
          <w:sz w:val="22"/>
        </w:rPr>
      </w:r>
    </w:p>
    <w:p>
      <w:pPr>
        <w:pStyle w:val="Normal"/>
        <w:numPr>
          <w:ilvl w:val="0"/>
          <w:numId w:val="3"/>
        </w:numPr>
        <w:tabs>
          <w:tab w:val="left" w:pos="45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ind w:hanging="360" w:start="450" w:end="1260"/>
        <w:rPr>
          <w:sz w:val="22"/>
        </w:rPr>
      </w:pPr>
      <w:r>
        <w:rPr>
          <w:sz w:val="22"/>
        </w:rPr>
        <w:t>Lower range attainable only by certain General Electric equipment utilizing Dry Low NOx burner technology.</w:t>
      </w:r>
    </w:p>
    <w:p>
      <w:pPr>
        <w:pStyle w:val="Normal"/>
        <w:numPr>
          <w:ilvl w:val="0"/>
          <w:numId w:val="3"/>
        </w:numPr>
        <w:tabs>
          <w:tab w:val="left" w:pos="45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ind w:hanging="360" w:start="450" w:end="1260"/>
        <w:rPr>
          <w:sz w:val="22"/>
        </w:rPr>
      </w:pPr>
      <w:r>
        <w:rPr>
          <w:sz w:val="22"/>
        </w:rPr>
        <w:t>Lower range attainable only by certain General Electric equipment utilizing Selective Catalytic Reduction (SCR) technology.</w:t>
      </w:r>
    </w:p>
    <w:p>
      <w:pPr>
        <w:pStyle w:val="Heading"/>
        <w:ind w:end="1260"/>
        <w:rPr>
          <w:sz w:val="22"/>
        </w:rPr>
      </w:pPr>
      <w:r>
        <w:rPr>
          <w:sz w:val="22"/>
        </w:rPr>
      </w:r>
      <w:r>
        <w:br w:type="page"/>
      </w:r>
    </w:p>
    <w:p>
      <w:pPr>
        <w:pStyle w:val="Heading"/>
        <w:ind w:end="1260"/>
        <w:rPr>
          <w:rFonts w:ascii="CG Times;Times New Roman" w:hAnsi="CG Times;Times New Roman" w:cs="CG Times;Times New Roman"/>
          <w:sz w:val="24"/>
        </w:rPr>
      </w:pPr>
      <w:r>
        <w:rPr>
          <w:rFonts w:cs="CG Times;Times New Roman" w:ascii="CG Times;Times New Roman" w:hAnsi="CG Times;Times New Roman"/>
          <w:sz w:val="24"/>
        </w:rPr>
        <w:t>Exhibit F</w:t>
      </w:r>
    </w:p>
    <w:p>
      <w:pPr>
        <w:pStyle w:val="Heading"/>
        <w:ind w:end="1260"/>
        <w:rPr/>
      </w:pPr>
      <w:r>
        <w:rPr/>
        <w:t>FuelCell Energy Conceptual Layout</w:t>
      </w:r>
    </w:p>
    <w:p>
      <w:pPr>
        <w:pStyle w:val="Heading"/>
        <w:ind w:end="1260"/>
        <w:rPr/>
      </w:pPr>
      <w:r>
        <w:rPr/>
      </w:r>
    </w:p>
    <w:p>
      <w:pPr>
        <w:pStyle w:val="Heading"/>
        <w:ind w:end="1260"/>
        <w:rPr/>
      </w:pPr>
      <w:r>
        <w:rPr/>
      </w:r>
    </w:p>
    <w:p>
      <w:pPr>
        <w:pStyle w:val="Heading"/>
        <w:ind w:end="1260"/>
        <w:rPr/>
      </w:pPr>
      <w:r>
        <w:rPr/>
        <w:object w:dxaOrig="7546" w:dyaOrig="3839">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21.6pt;margin-top:17.4pt;width:377.25pt;height:192pt;mso-wrap-distance-left:9.05pt;mso-wrap-distance-right:9.05pt;mso-position-horizontal-relative:text;mso-position-vertical-relative:text" filled="f" o:ole="">
            <v:imagedata r:id="rId10" o:title=""/>
            <w10:wrap type="topAndBottom"/>
          </v:shape>
          <o:OLEObject Type="Embed" ProgID="" ShapeID="ole_rId9" DrawAspect="Content" ObjectID="_1817816027" r:id="rId9"/>
        </w:object>
      </w:r>
    </w:p>
    <w:p>
      <w:pPr>
        <w:pStyle w:val="Heading"/>
        <w:ind w:end="1260"/>
        <w:rPr/>
      </w:pPr>
      <w:r>
        <w:rPr/>
      </w:r>
    </w:p>
    <w:p>
      <w:pPr>
        <w:pStyle w:val="Heading"/>
        <w:ind w:end="1260"/>
        <w:rPr/>
      </w:pPr>
      <w:r>
        <w:rPr/>
      </w:r>
    </w:p>
    <w:p>
      <w:pPr>
        <w:pStyle w:val="Heading"/>
        <w:ind w:end="1260"/>
        <w:rPr/>
      </w:pPr>
      <w:r>
        <w:rPr/>
      </w:r>
    </w:p>
    <w:p>
      <w:pPr>
        <w:pStyle w:val="Heading"/>
        <w:ind w:end="1260"/>
        <w:rPr/>
      </w:pPr>
      <w:r>
        <w:rPr/>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Heading"/>
        <w:ind w:end="1260"/>
        <w:rPr/>
      </w:pPr>
      <w:r>
        <w:rPr/>
      </w:r>
    </w:p>
    <w:p>
      <w:pPr>
        <w:pStyle w:val="Heading"/>
        <w:ind w:end="1260"/>
        <w:rPr>
          <w:rFonts w:ascii="CG Times;Times New Roman" w:hAnsi="CG Times;Times New Roman" w:cs="CG Times;Times New Roman"/>
          <w:sz w:val="24"/>
        </w:rPr>
      </w:pPr>
      <w:r>
        <w:rPr>
          <w:rFonts w:cs="CG Times;Times New Roman" w:ascii="CG Times;Times New Roman" w:hAnsi="CG Times;Times New Roman"/>
          <w:sz w:val="24"/>
        </w:rPr>
        <w:t>Exhibit G</w:t>
      </w:r>
    </w:p>
    <w:p>
      <w:pPr>
        <w:pStyle w:val="Heading"/>
        <w:ind w:end="1260"/>
        <w:rPr/>
      </w:pPr>
      <w:r>
        <w:rPr/>
        <w:t>Pro Forma Analysis</w:t>
      </w:r>
    </w:p>
    <w:p>
      <w:pPr>
        <w:pStyle w:val="Normal"/>
        <w:ind w:end="1260"/>
        <w:rPr>
          <w:sz w:val="22"/>
        </w:rPr>
      </w:pPr>
      <w:r>
        <w:rPr>
          <w:sz w:val="22"/>
        </w:rPr>
      </w:r>
    </w:p>
    <w:p>
      <w:pPr>
        <w:pStyle w:val="Normal"/>
        <w:ind w:end="1260"/>
        <w:rPr>
          <w:sz w:val="22"/>
        </w:rPr>
      </w:pPr>
      <w:r>
        <w:rPr>
          <w:sz w:val="22"/>
        </w:rPr>
      </w:r>
    </w:p>
    <w:p>
      <w:pPr>
        <w:pStyle w:val="Normal"/>
        <w:ind w:end="1260"/>
        <w:rPr>
          <w:sz w:val="22"/>
        </w:rPr>
      </w:pPr>
      <w:r>
        <w:rPr>
          <w:sz w:val="22"/>
        </w:rPr>
      </w:r>
    </w:p>
    <w:p>
      <w:pPr>
        <w:pStyle w:val="Normal"/>
        <w:ind w:end="1260"/>
        <w:rPr>
          <w:sz w:val="22"/>
        </w:rPr>
      </w:pPr>
      <w:r>
        <w:rPr>
          <w:sz w:val="22"/>
        </w:rPr>
      </w:r>
    </w:p>
    <w:p>
      <w:pPr>
        <w:pStyle w:val="Normal"/>
        <w:ind w:end="1260"/>
        <w:rPr>
          <w:sz w:val="22"/>
        </w:rPr>
      </w:pPr>
      <w:r>
        <w:rPr>
          <w:sz w:val="22"/>
        </w:rPr>
      </w:r>
    </w:p>
    <w:p>
      <w:pPr>
        <w:pStyle w:val="Normal"/>
        <w:ind w:end="1260"/>
        <w:rPr>
          <w:sz w:val="22"/>
        </w:rPr>
      </w:pPr>
      <w:r>
        <w:rPr>
          <w:sz w:val="22"/>
        </w:rPr>
      </w:r>
    </w:p>
    <w:p>
      <w:pPr>
        <w:pStyle w:val="Normal"/>
        <w:ind w:end="1260"/>
        <w:rPr>
          <w:sz w:val="22"/>
        </w:rPr>
      </w:pPr>
      <w:r>
        <w:rPr>
          <w:sz w:val="22"/>
        </w:rPr>
      </w:r>
    </w:p>
    <w:p>
      <w:pPr>
        <w:pStyle w:val="Normal"/>
        <w:rPr>
          <w:sz w:val="22"/>
        </w:rPr>
      </w:pPr>
      <w:r>
        <w:rPr>
          <w:sz w:val="22"/>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sz w:val="22"/>
        </w:rPr>
      </w:pPr>
      <w:r>
        <w:rPr>
          <w:sz w:val="22"/>
        </w:rPr>
      </w:r>
    </w:p>
    <w:sectPr>
      <w:headerReference w:type="default" r:id="rId15"/>
      <w:headerReference w:type="first" r:id="rId16"/>
      <w:footerReference w:type="default" r:id="rId17"/>
      <w:footerReference w:type="first" r:id="rId18"/>
      <w:footnotePr>
        <w:numFmt w:val="decimal"/>
      </w:footnotePr>
      <w:type w:val="nextPage"/>
      <w:pgSz w:w="12240" w:h="15840"/>
      <w:pgMar w:left="720" w:right="72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t>Conn. Gen. Stat. § 16-1(26) includes a fuel cell in the definition of a "Class I renewable energy source".</w:t>
      </w:r>
    </w:p>
  </w:footnote>
  <w:footnote w:id="3">
    <w:p>
      <w:pPr>
        <w:pStyle w:val="FootnoteText"/>
        <w:rPr/>
      </w:pPr>
      <w:r>
        <w:rPr>
          <w:rStyle w:val="FootnoteCharacters"/>
        </w:rPr>
        <w:footnoteRef/>
      </w:r>
      <w:r>
        <w:rPr/>
        <w:t xml:space="preserve"> </w:t>
      </w:r>
      <w:r>
        <w:rPr/>
        <w:tab/>
        <w:t>Conn. Gen. Stat. § 16a-35k states in pertinent part:</w:t>
      </w:r>
    </w:p>
    <w:p>
      <w:pPr>
        <w:pStyle w:val="FootnoteText"/>
        <w:rPr/>
      </w:pPr>
      <w:r>
        <w:rPr/>
        <w:tab/>
        <w:t xml:space="preserve">Therefore, the General Assembly declares that it is the policy of the state of Connecticut to </w:t>
      </w:r>
      <w:r>
        <w:rPr>
          <w:b/>
        </w:rPr>
        <w:t>(1) conserve energy resources by avoiding unnecessary and wasteful consumption; (2)  consume energy resources in the most efficient manner feasible; (3) develop and utilize renewable energy resources, such as solar and wind energy, to the maximum practicable extent; (4) diversify the state's energy supply mix; (5) where practicable, replace energy resources vulnerable to interruption due to circumstances beyond the state's control with those less vulnerable;</w:t>
      </w:r>
      <w:r>
        <w:rPr/>
        <w:t xml:space="preserve"> (6) assist citizen and businesses in implementing measures to reduce energy consumption and costs; (7) ensure that low-income households can meet essential energy needs; (8) maintain planning and preparedness capabilities necessary to deal effectively with future energy supply interruptions; and </w:t>
      </w:r>
      <w:r>
        <w:rPr>
          <w:b/>
        </w:rPr>
        <w:t>(9)</w:t>
      </w:r>
      <w:r>
        <w:rPr/>
        <w:t xml:space="preserve"> </w:t>
      </w:r>
      <w:r>
        <w:rPr>
          <w:b/>
        </w:rPr>
        <w:t>when available energy alternatives are equivalent, give preference for capacity additions first to conservation and load management.</w:t>
      </w:r>
    </w:p>
    <w:p>
      <w:pPr>
        <w:pStyle w:val="FootnoteText"/>
        <w:spacing w:before="0" w:after="240"/>
        <w:ind w:hanging="720" w:start="720" w:end="0"/>
        <w:rPr/>
      </w:pPr>
      <w:r>
        <w:rPr/>
        <w:t>(emphasis added).</w:t>
      </w:r>
    </w:p>
  </w:footnote>
  <w:footnote w:id="4">
    <w:p>
      <w:pPr>
        <w:pStyle w:val="FootnoteText"/>
        <w:rPr/>
      </w:pPr>
      <w:r>
        <w:rPr>
          <w:rStyle w:val="FootnoteCharacters"/>
        </w:rPr>
        <w:footnoteRef/>
      </w:r>
      <w:r>
        <w:rPr/>
        <w:t xml:space="preserve"> </w:t>
      </w:r>
      <w:r>
        <w:rPr/>
        <w:tab/>
        <w:t xml:space="preserve">The Department has been granted broad powers by the legislature in regard to the promotion of conservation and load management programs.  Prior to the enactment of the Electric Restructuring Act, the legislature required the Department to order "each gas and electric public service company to implement a cost effective conservation and load management program consistent with integrated resource planning principles."  Conn. Gen. Stat. § 16a-49.  This statutory scheme, introduced prior to the opening of the electric industry to competition, focuses on the electric public service company's development of programs which further the state's energy policy.  In doing so, the Legislature went so far as to require the Department to remove the economic disincentives for utilities created by the implementation of cost effective conservation and load management programs.  </w:t>
      </w:r>
      <w:r>
        <w:rPr>
          <w:u w:val="single"/>
        </w:rPr>
        <w:t>See</w:t>
      </w:r>
      <w:r>
        <w:rPr/>
        <w:t xml:space="preserve">, Conn. Gen. Stat. § 16-19kk through § 16-19oo, and Conn. Gen. Stat. § 16-19aa (return on investment allowed for facilities temporarily or permanently retired from service due to affect of conservation and load management programs).  </w:t>
      </w:r>
    </w:p>
    <w:p>
      <w:pPr>
        <w:pStyle w:val="FootnoteText"/>
        <w:spacing w:before="0" w:after="240"/>
        <w:ind w:hanging="720" w:start="720" w:end="0"/>
        <w:rPr/>
      </w:pPr>
      <w:r>
        <w:rPr/>
      </w:r>
    </w:p>
  </w:footnote>
  <w:footnote w:id="5">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w:t>
      </w:r>
      <w:r>
        <w:rPr>
          <w:u w:val="single"/>
        </w:rPr>
        <w:t>e.g.</w:t>
      </w:r>
      <w:r>
        <w:rPr/>
        <w:t>, Conn. Gen. Stat. § 16-50k (expedited Siting Council permitting procedures for fuel cells provided under certain circumstances.)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45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bidi w:val="0"/>
    </w:pPr>
    <w:rPr>
      <w:rFonts w:ascii="CG Times;Times New Roman" w:hAnsi="CG Times;Times New Roman" w:eastAsia="Times New Roman" w:cs="CG Time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CG Times;Times New Roman" w:hAnsi="CG Times;Times New Roman" w:cs="CG Times;Times New Roman"/>
      <w:vertAlign w:val="superscript"/>
    </w:rPr>
  </w:style>
  <w:style w:type="character" w:styleId="FootnoteCharacters">
    <w:name w:val="Footnote Characters"/>
    <w:basedOn w:val="DefaultParagraphFont"/>
    <w:qFormat/>
    <w:rPr>
      <w:rFonts w:ascii="CG Times;Times New Roman" w:hAnsi="CG Times;Times New Roman" w:cs="CG Times;Times New Roman"/>
      <w:sz w:val="24"/>
      <w:vertAlign w:val="superscript"/>
    </w:rPr>
  </w:style>
  <w:style w:type="character" w:styleId="PageNumber">
    <w:name w:val="page number"/>
    <w:basedOn w:val="DefaultParagraphFont"/>
    <w:rPr>
      <w:rFonts w:ascii="CG Times;Times New Roman" w:hAnsi="CG Times;Times New Roman" w:cs="CG Times;Times New Roman"/>
      <w:sz w:val="24"/>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tabs>
        <w:tab w:val="clear" w:pos="720"/>
        <w:tab w:val="clear" w:pos="1440"/>
        <w:tab w:val="clear" w:pos="2160"/>
        <w:tab w:val="clear" w:pos="2880"/>
        <w:tab w:val="clear" w:pos="3240"/>
        <w:tab w:val="clear" w:pos="4320"/>
        <w:tab w:val="clear" w:pos="4680"/>
        <w:tab w:val="clear" w:pos="5040"/>
        <w:tab w:val="clear" w:pos="9360"/>
      </w:tabs>
      <w:jc w:val="center"/>
    </w:pPr>
    <w:rPr>
      <w:rFonts w:ascii="Times New Roman" w:hAnsi="Times New Roman" w:cs="Times New Roman"/>
      <w:b/>
      <w:sz w:val="32"/>
    </w:rPr>
  </w:style>
  <w:style w:type="paragraph" w:styleId="BodyText">
    <w:name w:val="Body Text"/>
    <w:basedOn w:val="Normal"/>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ind w:hanging="720" w:start="72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lear" w:pos="1440"/>
        <w:tab w:val="clear" w:pos="2160"/>
        <w:tab w:val="clear" w:pos="2880"/>
        <w:tab w:val="clear" w:pos="3240"/>
        <w:tab w:val="clear" w:pos="4320"/>
        <w:tab w:val="clear" w:pos="4680"/>
        <w:tab w:val="clear" w:pos="5040"/>
        <w:tab w:val="clear" w:pos="9360"/>
        <w:tab w:val="center" w:pos="4986" w:leader="none"/>
        <w:tab w:val="right" w:pos="9972" w:leader="none"/>
      </w:tabs>
    </w:pPr>
    <w:rPr/>
  </w:style>
  <w:style w:type="paragraph" w:styleId="Footer">
    <w:name w:val="foot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FootnoteText">
    <w:name w:val="footnote text"/>
    <w:basedOn w:val="Normal"/>
    <w:pPr>
      <w:spacing w:before="0" w:after="240"/>
      <w:ind w:hanging="720" w:start="720" w:end="0"/>
    </w:pPr>
    <w:rPr/>
  </w:style>
  <w:style w:type="paragraph" w:styleId="Header">
    <w:name w:val="head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BodyTextIndent">
    <w:name w:val="Body Text Indent"/>
    <w:basedOn w:val="Normal"/>
    <w:pPr>
      <w:tabs>
        <w:tab w:val="clear" w:pos="720"/>
        <w:tab w:val="clear" w:pos="1440"/>
        <w:tab w:val="clear" w:pos="2160"/>
        <w:tab w:val="clear" w:pos="2880"/>
        <w:tab w:val="clear" w:pos="3240"/>
        <w:tab w:val="clear" w:pos="4320"/>
        <w:tab w:val="clear" w:pos="4680"/>
        <w:tab w:val="clear" w:pos="5040"/>
        <w:tab w:val="clear" w:pos="9360"/>
      </w:tabs>
      <w:spacing w:lineRule="auto" w:line="480"/>
      <w:ind w:firstLine="720" w:start="0" w:end="0"/>
    </w:pPr>
    <w:rPr>
      <w:rFonts w:ascii="Times New Roman" w:hAnsi="Times New Roman" w:cs="Times New Roman"/>
    </w:rPr>
  </w:style>
  <w:style w:type="paragraph" w:styleId="TOC1">
    <w:name w:val="toc 1"/>
    <w:basedOn w:val="Normal"/>
    <w:next w:val="Normal"/>
    <w:pPr>
      <w:tabs>
        <w:tab w:val="clear" w:pos="1440"/>
        <w:tab w:val="clear" w:pos="2160"/>
        <w:tab w:val="clear" w:pos="2880"/>
        <w:tab w:val="clear" w:pos="3240"/>
        <w:tab w:val="clear" w:pos="4320"/>
        <w:tab w:val="clear" w:pos="4680"/>
        <w:tab w:val="clear" w:pos="5040"/>
        <w:tab w:val="clear" w:pos="9360"/>
        <w:tab w:val="left" w:pos="720" w:leader="none"/>
        <w:tab w:val="right" w:pos="9072" w:leader="dot"/>
      </w:tabs>
      <w:spacing w:before="0" w:after="240"/>
      <w:ind w:hanging="720" w:start="720" w:end="1440"/>
    </w:pPr>
    <w:rPr/>
  </w:style>
  <w:style w:type="paragraph" w:styleId="TOC2">
    <w:name w:val="toc 2"/>
    <w:basedOn w:val="Normal"/>
    <w:next w:val="Normal"/>
    <w:pPr>
      <w:tabs>
        <w:tab w:val="clear" w:pos="2160"/>
        <w:tab w:val="clear" w:pos="2880"/>
        <w:tab w:val="clear" w:pos="3240"/>
        <w:tab w:val="clear" w:pos="4320"/>
        <w:tab w:val="clear" w:pos="4680"/>
        <w:tab w:val="clear" w:pos="5040"/>
        <w:tab w:val="clear" w:pos="9360"/>
        <w:tab w:val="left" w:pos="720" w:leader="none"/>
        <w:tab w:val="left" w:pos="1440" w:leader="none"/>
        <w:tab w:val="right" w:pos="9072" w:leader="dot"/>
      </w:tabs>
      <w:spacing w:before="0" w:after="240"/>
      <w:ind w:hanging="720" w:start="1440" w:end="1440"/>
    </w:pPr>
    <w:rPr/>
  </w:style>
  <w:style w:type="paragraph" w:styleId="TOC3">
    <w:name w:val="toc 3"/>
    <w:basedOn w:val="Normal"/>
    <w:next w:val="Normal"/>
    <w:pPr>
      <w:tabs>
        <w:tab w:val="clear" w:pos="720"/>
        <w:tab w:val="clear" w:pos="2880"/>
        <w:tab w:val="clear" w:pos="3240"/>
        <w:tab w:val="clear" w:pos="4320"/>
        <w:tab w:val="clear" w:pos="4680"/>
        <w:tab w:val="clear" w:pos="5040"/>
        <w:tab w:val="clear" w:pos="9360"/>
        <w:tab w:val="left" w:pos="1440" w:leader="none"/>
        <w:tab w:val="left" w:pos="2160" w:leader="none"/>
        <w:tab w:val="right" w:pos="9072" w:leader="dot"/>
      </w:tabs>
      <w:spacing w:before="0" w:after="240"/>
      <w:ind w:hanging="720" w:start="2160" w:end="1440"/>
    </w:pPr>
    <w:rPr/>
  </w:style>
  <w:style w:type="paragraph" w:styleId="TOC4">
    <w:name w:val="toc 4"/>
    <w:basedOn w:val="Normal"/>
    <w:next w:val="Normal"/>
    <w:pPr>
      <w:tabs>
        <w:tab w:val="clear" w:pos="720"/>
        <w:tab w:val="clear" w:pos="1440"/>
        <w:tab w:val="clear" w:pos="3240"/>
        <w:tab w:val="clear" w:pos="4320"/>
        <w:tab w:val="clear" w:pos="4680"/>
        <w:tab w:val="clear" w:pos="5040"/>
        <w:tab w:val="clear" w:pos="9360"/>
        <w:tab w:val="left" w:pos="2160" w:leader="none"/>
        <w:tab w:val="left" w:pos="2880" w:leader="none"/>
        <w:tab w:val="right" w:pos="9072" w:leader="dot"/>
      </w:tabs>
      <w:spacing w:before="0" w:after="240"/>
      <w:ind w:hanging="720" w:start="2880" w:end="1440"/>
    </w:pPr>
    <w:rPr/>
  </w:style>
  <w:style w:type="paragraph" w:styleId="BodyText3">
    <w:name w:val="Body Text 3"/>
    <w:basedOn w:val="Normal"/>
    <w:qFormat/>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rPr>
  </w:style>
  <w:style w:type="paragraph" w:styleId="BodyText2">
    <w:name w:val="Body Text 2"/>
    <w:basedOn w:val="Normal"/>
    <w:qFormat/>
    <w:pPr>
      <w:tabs>
        <w:tab w:val="clear" w:pos="720"/>
        <w:tab w:val="clear" w:pos="1440"/>
        <w:tab w:val="clear" w:pos="2160"/>
        <w:tab w:val="clear" w:pos="2880"/>
        <w:tab w:val="clear" w:pos="3240"/>
        <w:tab w:val="clear" w:pos="4320"/>
        <w:tab w:val="clear" w:pos="4680"/>
        <w:tab w:val="clear" w:pos="5040"/>
        <w:tab w:val="clear" w:pos="9360"/>
      </w:tabs>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image" Target="media/image2.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2001-01-02T18:03:00Z</dcterms:created>
  <dc:creator>MCRP</dc:creator>
  <dc:description/>
  <dc:language>en-CA</dc:language>
  <cp:lastModifiedBy>hkroll</cp:lastModifiedBy>
  <cp:lastPrinted>2000-11-14T11:37:00Z</cp:lastPrinted>
  <dcterms:modified xsi:type="dcterms:W3CDTF">2001-01-02T18:44:00Z</dcterms:modified>
  <cp:revision>6</cp:revision>
  <dc:subject/>
  <dc:title>STATE OF CONNECTICUT</dc:title>
</cp:coreProperties>
</file>