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b/>
          <w:sz w:val="28"/>
        </w:rPr>
      </w:pPr>
      <w:r>
        <w:rPr>
          <w:b/>
          <w:sz w:val="28"/>
        </w:rPr>
        <w:t xml:space="preserve">BEFORE THE PUBLIC UTILITIES COMMISSION </w:t>
      </w:r>
    </w:p>
    <w:p>
      <w:pPr>
        <w:pStyle w:val="Normal"/>
        <w:spacing w:lineRule="auto" w:line="240"/>
        <w:jc w:val="center"/>
        <w:rPr>
          <w:b/>
        </w:rPr>
      </w:pPr>
      <w:r>
        <w:rPr>
          <w:b/>
          <w:sz w:val="28"/>
        </w:rPr>
        <w:t>OF THE STATE OF CALIFORNIA</w:t>
      </w:r>
    </w:p>
    <w:p>
      <w:pPr>
        <w:pStyle w:val="Normal"/>
        <w:spacing w:lineRule="auto" w:line="240"/>
        <w:jc w:val="center"/>
        <w:rPr>
          <w:b/>
        </w:rPr>
      </w:pPr>
      <w:r>
        <w:rPr>
          <w:b/>
        </w:rPr>
      </w:r>
    </w:p>
    <w:p>
      <w:pPr>
        <w:pStyle w:val="Normal"/>
        <w:spacing w:lineRule="auto" w:line="240"/>
        <w:jc w:val="center"/>
        <w:rPr>
          <w:b/>
        </w:rPr>
      </w:pPr>
      <w:r>
        <w:rPr>
          <w:b/>
        </w:rPr>
      </w:r>
    </w:p>
    <w:p>
      <w:pPr>
        <w:pStyle w:val="Normal"/>
        <w:spacing w:lineRule="auto" w:line="240"/>
        <w:rPr/>
      </w:pPr>
      <w:r>
        <w:rPr/>
        <w:t>Investigation on the Commission’s Own Motion</w:t>
        <w:tab/>
        <w:tab/>
        <w:t>)</w:t>
      </w:r>
    </w:p>
    <w:p>
      <w:pPr>
        <w:pStyle w:val="Normal"/>
        <w:spacing w:lineRule="auto" w:line="240"/>
        <w:rPr/>
      </w:pPr>
      <w:r>
        <w:rPr/>
        <w:t>To Consider the Costs and Benefits of Various</w:t>
        <w:tab/>
        <w:tab/>
        <w:t>)</w:t>
      </w:r>
    </w:p>
    <w:p>
      <w:pPr>
        <w:pStyle w:val="Normal"/>
        <w:spacing w:lineRule="auto" w:line="240"/>
        <w:rPr/>
      </w:pPr>
      <w:r>
        <w:rPr/>
        <w:t xml:space="preserve">Promising Revisions to the Regulatory and </w:t>
        <w:tab/>
        <w:tab/>
        <w:t>)</w:t>
        <w:tab/>
        <w:t>I.99-07-003</w:t>
      </w:r>
    </w:p>
    <w:p>
      <w:pPr>
        <w:pStyle w:val="Normal"/>
        <w:spacing w:lineRule="auto" w:line="240"/>
        <w:rPr/>
      </w:pPr>
      <w:r>
        <w:rPr/>
        <w:t>Market Structure Governing California’s Natural</w:t>
        <w:tab/>
        <w:t>)</w:t>
      </w:r>
    </w:p>
    <w:p>
      <w:pPr>
        <w:pStyle w:val="Normal"/>
        <w:spacing w:lineRule="auto" w:line="240"/>
        <w:rPr/>
      </w:pPr>
      <w:r>
        <w:rPr/>
        <w:t>Gas Industry and to Report to the California</w:t>
        <w:tab/>
        <w:tab/>
        <w:t>)</w:t>
      </w:r>
    </w:p>
    <w:p>
      <w:pPr>
        <w:pStyle w:val="Normal"/>
        <w:spacing w:lineRule="auto" w:line="240"/>
        <w:rPr/>
      </w:pPr>
      <w:r>
        <w:rPr/>
        <w:t>Legislature on the Commission’s Findings.</w:t>
        <w:tab/>
        <w:tab/>
        <w:t>)</w:t>
      </w:r>
    </w:p>
    <w:p>
      <w:pPr>
        <w:pStyle w:val="Normal"/>
        <w:spacing w:lineRule="auto" w:line="240"/>
        <w:rPr/>
      </w:pPr>
      <w:r>
        <w:rPr>
          <w:u w:val="single"/>
        </w:rPr>
        <w:tab/>
        <w:tab/>
        <w:tab/>
        <w:tab/>
        <w:tab/>
        <w:tab/>
        <w:tab/>
        <w:tab/>
      </w:r>
      <w:r>
        <w:rPr/>
        <w:t>)</w:t>
      </w:r>
    </w:p>
    <w:p>
      <w:pPr>
        <w:pStyle w:val="Normal"/>
        <w:rPr/>
      </w:pPr>
      <w:r>
        <w:rPr/>
      </w:r>
    </w:p>
    <w:p>
      <w:pPr>
        <w:pStyle w:val="Normal"/>
        <w:jc w:val="center"/>
        <w:rPr>
          <w:b/>
        </w:rPr>
      </w:pPr>
      <w:r>
        <w:rPr>
          <w:b/>
        </w:rPr>
        <w:t>MOTION OF THE UTILITY REFORM NETWORK</w:t>
      </w:r>
    </w:p>
    <w:p>
      <w:pPr>
        <w:pStyle w:val="Normal"/>
        <w:pBdr>
          <w:bottom w:val="single" w:sz="12" w:space="1" w:color="000000"/>
        </w:pBdr>
        <w:jc w:val="center"/>
        <w:rPr>
          <w:b/>
        </w:rPr>
      </w:pPr>
      <w:r>
        <w:rPr>
          <w:b/>
        </w:rPr>
        <w:t>TO COMPEL DISCOVERY RESPONSES</w:t>
      </w:r>
    </w:p>
    <w:p>
      <w:pPr>
        <w:pStyle w:val="Normal"/>
        <w:pBdr>
          <w:bottom w:val="single" w:sz="12" w:space="1" w:color="000000"/>
        </w:pBdr>
        <w:jc w:val="center"/>
        <w:rPr>
          <w:b/>
        </w:rPr>
      </w:pPr>
      <w:r>
        <w:rPr>
          <w:b/>
        </w:rPr>
        <w:t>AND MOTION REQUESTING A SHORTENED RESPONSE TIME</w:t>
      </w:r>
    </w:p>
    <w:p>
      <w:pPr>
        <w:pStyle w:val="Normal"/>
        <w:rPr>
          <w:b/>
        </w:rPr>
      </w:pPr>
      <w:r>
        <w:rPr>
          <w:b/>
        </w:rPr>
      </w:r>
    </w:p>
    <w:p>
      <w:pPr>
        <w:pStyle w:val="Heading"/>
        <w:rPr/>
      </w:pPr>
      <w:r>
        <w:rPr/>
        <w:t>INTRODUCTION AND PROCEDURAL BACKGROUND</w:t>
      </w:r>
    </w:p>
    <w:p>
      <w:pPr>
        <w:pStyle w:val="Normal"/>
        <w:ind w:firstLine="720" w:end="0"/>
        <w:rPr/>
      </w:pPr>
      <w:r>
        <w:rPr/>
        <w:t>Pursuant to Rule 45 and Resolution ALJ-164, The Utility Reform Network (TURN) files this motion requesting an order to compel discovery responses by Southern California Gas Company (SoCalGas) in I.99-07-003. By letter dated May 5, 2000, SoCalGas objected to responding to all but two of the twenty-one (21) questions propounded by TURN on April 27, 2000 (enclosed at Attachment 1).  SoCalGas objects based on claims of lack of relevance, lack of standing, calling for legal opinion or conclusion and attorney work product privilege.</w:t>
      </w:r>
    </w:p>
    <w:p>
      <w:pPr>
        <w:pStyle w:val="Normal"/>
        <w:ind w:firstLine="720" w:end="0"/>
        <w:rPr/>
      </w:pPr>
      <w:r>
        <w:rPr/>
        <w:t>As detailed in the attached declaration (enclosed as Attachment 2), counsel for TURN conferred with counsel for SoCalGas on May 10, 2000. TURN withdrew its request for responses to questions 3, 6, 7, 10, and 21 in light of SoCalGas’ objections. TURN also withdraws question 11 and 19.1. By telephone message on May 11, 2000, SoCalGas reiterated its objections and refused to respond to the remainder of the data request.</w:t>
      </w:r>
    </w:p>
    <w:p>
      <w:pPr>
        <w:pStyle w:val="Normal"/>
        <w:ind w:firstLine="720" w:end="0"/>
        <w:rPr/>
      </w:pPr>
      <w:r>
        <w:rPr/>
        <w:t xml:space="preserve">TURN’s interrogatories seek clarification and explanation of language in the Interim and Comprehensive settlements and SoCalGas’ position with respect to the Interim and Comprehensive settlements. Does SoCalGas support the Interim Settlement?  Does SoCalGas support the Comprehensive Settlement? Does it support both? Why? TURN submits that this information regarding a stakeholder’s position is highly relevant to assessing whether a settlement is “in the public interest” and constitutes admissible evidence or, at a minimum, evidence reasonably calculated to obtain admissible evidence.  </w:t>
      </w:r>
    </w:p>
    <w:p>
      <w:pPr>
        <w:pStyle w:val="Normal"/>
        <w:rPr/>
      </w:pPr>
      <w:r>
        <w:rPr/>
        <w:tab/>
        <w:t>SoCalGas’ other objections are without merit for the reasons discussed in the Argument below. TURN requests that the Commission compel SoCalGas to answer the interrogatory as amended herein.</w:t>
      </w:r>
    </w:p>
    <w:p>
      <w:pPr>
        <w:pStyle w:val="Normal"/>
        <w:jc w:val="center"/>
        <w:rPr/>
      </w:pPr>
      <w:r>
        <w:rPr/>
        <w:br/>
      </w:r>
      <w:r>
        <w:rPr>
          <w:b/>
        </w:rPr>
        <w:t>ARGUMENT</w:t>
      </w:r>
    </w:p>
    <w:p>
      <w:pPr>
        <w:pStyle w:val="Normal"/>
        <w:numPr>
          <w:ilvl w:val="0"/>
          <w:numId w:val="3"/>
        </w:numPr>
        <w:rPr>
          <w:b/>
        </w:rPr>
      </w:pPr>
      <w:r>
        <w:rPr>
          <w:b/>
        </w:rPr>
        <w:t>The Questions Propounded Are Relevant To The Fundamental Issue Of Whether The Settlement Is In The Public Interest</w:t>
      </w:r>
    </w:p>
    <w:p>
      <w:pPr>
        <w:pStyle w:val="Normal"/>
        <w:numPr>
          <w:ilvl w:val="1"/>
          <w:numId w:val="3"/>
        </w:numPr>
        <w:rPr>
          <w:u w:val="single"/>
        </w:rPr>
      </w:pPr>
      <w:r>
        <w:rPr>
          <w:u w:val="single"/>
        </w:rPr>
        <w:t>The Position Of Stakeholders Is An Element In Evaluating Whether A Settlement Is In The Public Interest</w:t>
      </w:r>
    </w:p>
    <w:p>
      <w:pPr>
        <w:pStyle w:val="Normal"/>
        <w:ind w:firstLine="360" w:end="0"/>
        <w:rPr/>
      </w:pPr>
      <w:r>
        <w:rPr/>
        <w:t>In deciding whether to accept or reject a proposed settlement, the Commission is guided by the criteria of whether the settlement is “reasonable in light of the whole record, consistent with the law, and in the public interest.”  (Rule 51.1(e).)</w:t>
      </w:r>
    </w:p>
    <w:p>
      <w:pPr>
        <w:pStyle w:val="Normal"/>
        <w:ind w:firstLine="360" w:end="0"/>
        <w:rPr/>
      </w:pPr>
      <w:r>
        <w:rPr/>
        <w:t xml:space="preserve">In determining whether a settlement or stipulation is “in the public interest” the Commission naturally looks to the arguments offered by various stakeholders and the nature of the interests they represent. Good public policy and administrative procedure strongly support that the Commission listen to the parties whose interests are affected by a proposed settlement. At its basis, this is the whole point of having an administrative process that allows for the participation of interested parties. </w:t>
      </w:r>
    </w:p>
    <w:p>
      <w:pPr>
        <w:pStyle w:val="Normal"/>
        <w:ind w:firstLine="360" w:end="0"/>
        <w:rPr/>
      </w:pPr>
      <w:r>
        <w:rPr/>
        <w:t>The Commission does not determine the question of “public interest” by taking a vote of the stakeholders.  However, the position and views of stakeholders are important to the Commission.  This importance is reflected firstly in the Commission’s Rules of Practice and Procedure, which differentiate between an “uncontested” and a “contested” settlement.  (Rule 51.)  The Commission will automatically schedule a hearing if a party contests a material issue of fact.  (Rule 51.6.)  Thus, even the view of one stakeholder may be sufficiently important for the Commission to require the holding of evidentiary hearings.</w:t>
      </w:r>
    </w:p>
    <w:p>
      <w:pPr>
        <w:pStyle w:val="Normal"/>
        <w:ind w:firstLine="360" w:end="0"/>
        <w:rPr/>
      </w:pPr>
      <w:r>
        <w:rPr/>
        <w:t>Numerous parties support each of the three competing settlements,</w:t>
      </w:r>
      <w:r>
        <w:rPr>
          <w:rStyle w:val="FootnoteCharacters"/>
          <w:rStyle w:val="FootnoteReference"/>
        </w:rPr>
        <w:footnoteReference w:id="2"/>
      </w:r>
      <w:r>
        <w:rPr/>
        <w:t xml:space="preserve"> and all settlements have representatives of core and noncore customer interests. Several parties, including SoCalGas, have signed both the Comprehensive Settlement and the Interim Settlement, which is incorporated into the Post-Interim Settlement.  SoCalGas is an important stakeholder in this proceeding. The position of the utility with respect to the competing settlements is thus clearly relevant to a determination of which settlement is most suitable and “in the public interest,” and information designed to clarify the position of the utility constitutes relevant evidence.</w:t>
      </w:r>
    </w:p>
    <w:p>
      <w:pPr>
        <w:pStyle w:val="Normal"/>
        <w:ind w:firstLine="360" w:end="0"/>
        <w:rPr/>
      </w:pPr>
      <w:r>
        <w:rPr/>
      </w:r>
    </w:p>
    <w:p>
      <w:pPr>
        <w:pStyle w:val="Normal"/>
        <w:numPr>
          <w:ilvl w:val="1"/>
          <w:numId w:val="3"/>
        </w:numPr>
        <w:rPr>
          <w:u w:val="single"/>
        </w:rPr>
      </w:pPr>
      <w:r>
        <w:rPr>
          <w:u w:val="single"/>
        </w:rPr>
        <w:t>The Text Of The Comprehensive Settlement, The Motion For Approval, And SoCalGas’ Testimony In Support Of The Comprehensive Settlement Are Confusing, Circular and Conflict with Certain Terms of the Interim Settlement</w:t>
      </w:r>
    </w:p>
    <w:p>
      <w:pPr>
        <w:pStyle w:val="Normal"/>
        <w:ind w:firstLine="360" w:end="0"/>
        <w:rPr/>
      </w:pPr>
      <w:r>
        <w:rPr/>
        <w:t>Section XIII of the Interim Settlement provides that “the signatories to this Settlement urge the Commission to approve it without modification.”  The Joint Motion to Approve the Interim Settlement further stated that “the Settlement Parties listed below urge the Commission to approve the attached Interim Settlement, promptly and without modification.”</w:t>
      </w:r>
    </w:p>
    <w:p>
      <w:pPr>
        <w:pStyle w:val="Normal"/>
        <w:ind w:firstLine="360" w:end="0"/>
        <w:rPr/>
      </w:pPr>
      <w:r>
        <w:rPr/>
        <w:t>Section 1.12 of the Comprehensive Settlement states that “To the extent that the Commission finds the Interim Settlement insufficiently consistent with the promising options identified by the Commission in D.99-07-015 or otherwise finds it unacceptable, the Parties to this Settlement Agreement who signed the Interim Settlement support the full implementation of this Settlement Agreement.” The Motion for Approval of the Comprehensive Settlement states that the parties who signed the Interim Settlement “remain willing to accept the Interim Settlement if it is acceptable to the Commission.”</w:t>
      </w:r>
    </w:p>
    <w:p>
      <w:pPr>
        <w:pStyle w:val="Normal"/>
        <w:ind w:firstLine="360" w:end="0"/>
        <w:rPr/>
      </w:pPr>
      <w:r>
        <w:rPr/>
        <w:t>Finally, the testimony of Lad Lorenz in support of the Comprehensive Settlement (Exhibit 2) filed on behalf of SoCalGas likewise contains the phrase “SoCalGas and SDG&amp;E remain willing to accept the terms of the Interim Settlement if they are acceptable to the Commission.  However, to the extent the Interim Settlement is not acceptable to the Commission, SoCalGas and SDG&amp;E support the provisions of the Comprehensive Settlement.”  (Exh. 2, p. 5.)</w:t>
      </w:r>
    </w:p>
    <w:p>
      <w:pPr>
        <w:pStyle w:val="Normal"/>
        <w:ind w:firstLine="360" w:end="0"/>
        <w:rPr/>
      </w:pPr>
      <w:r>
        <w:rPr/>
        <w:t>SoCalGas’ statements conflict with certain terms of the Interim Settlement, are confusing and are logically circular. A logical parsing of the text leads to the following substantive summary of the content of SoCalGas’ statements:</w:t>
      </w:r>
    </w:p>
    <w:p>
      <w:pPr>
        <w:pStyle w:val="Normal"/>
        <w:numPr>
          <w:ilvl w:val="0"/>
          <w:numId w:val="2"/>
        </w:numPr>
        <w:rPr/>
      </w:pPr>
      <w:r>
        <w:rPr/>
        <w:t>SoCalGas will accept the Interim if the Commission will accept the Interim</w:t>
      </w:r>
    </w:p>
    <w:p>
      <w:pPr>
        <w:pStyle w:val="Normal"/>
        <w:numPr>
          <w:ilvl w:val="0"/>
          <w:numId w:val="2"/>
        </w:numPr>
        <w:rPr/>
      </w:pPr>
      <w:r>
        <w:rPr/>
        <w:t>SoCalGas will support the Comprehensive if the Commission will not accept the Interim.</w:t>
      </w:r>
    </w:p>
    <w:p>
      <w:pPr>
        <w:pStyle w:val="Normal"/>
        <w:rPr/>
      </w:pPr>
      <w:r>
        <w:rPr/>
        <w:t>What does this language mean regarding the independent position of SoCalGas with respect to the Interim Settlement? How does this language assist the Commission in evaluating the two settlements?</w:t>
      </w:r>
    </w:p>
    <w:p>
      <w:pPr>
        <w:pStyle w:val="Normal"/>
        <w:rPr/>
      </w:pPr>
      <w:r>
        <w:rPr/>
        <w:tab/>
        <w:t xml:space="preserve">TURN submits that SoCalGas’ position is logically deficient, because it does not assist the Commission in deciding what is the nature of stakeholder support for the Interim Settlement </w:t>
      </w:r>
      <w:r>
        <w:rPr>
          <w:u w:val="single"/>
        </w:rPr>
        <w:t xml:space="preserve">prior to making a decision </w:t>
      </w:r>
      <w:r>
        <w:rPr/>
        <w:t xml:space="preserve">about the Settlement.  Presumably, the Commission will make one decision regarding all the settlements in the proceeding, by choosing one settlement, asking the parties to renegotiate, or selecting its own independent outcome.  But, as explained in the preceding section, it is relevant for the Commission’s to know </w:t>
      </w:r>
      <w:r>
        <w:rPr>
          <w:u w:val="single"/>
        </w:rPr>
        <w:t>in advance</w:t>
      </w:r>
      <w:r>
        <w:rPr/>
        <w:t xml:space="preserve"> SoCalGas’ position regarding the competing settlements.</w:t>
      </w:r>
      <w:r>
        <w:rPr>
          <w:rStyle w:val="FootnoteCharacters"/>
          <w:rStyle w:val="FootnoteReference"/>
        </w:rPr>
        <w:footnoteReference w:id="3"/>
      </w:r>
      <w:r>
        <w:rPr/>
        <w:t xml:space="preserve">  SoCalGas has placed the cart before the horse by telling the Commission that its position on the Interim Settlement will depend on what the Commission decides about the Interim Settlement!</w:t>
      </w:r>
    </w:p>
    <w:p>
      <w:pPr>
        <w:pStyle w:val="Normal"/>
        <w:rPr/>
      </w:pPr>
      <w:r>
        <w:rPr/>
      </w:r>
    </w:p>
    <w:p>
      <w:pPr>
        <w:pStyle w:val="Normal"/>
        <w:numPr>
          <w:ilvl w:val="1"/>
          <w:numId w:val="3"/>
        </w:numPr>
        <w:rPr>
          <w:u w:val="single"/>
        </w:rPr>
      </w:pPr>
      <w:r>
        <w:rPr>
          <w:u w:val="single"/>
        </w:rPr>
        <w:t>TURN’s Questions Are Relevant Because They Seek To Explain The Meaning Of Certain Language And Clarify SoCalGas’ Position</w:t>
      </w:r>
    </w:p>
    <w:p>
      <w:pPr>
        <w:pStyle w:val="BodyTextIndent2"/>
        <w:rPr/>
      </w:pPr>
      <w:r>
        <w:rPr/>
        <w:t>The question of relevance is probably the most important of SoCalGas’ objections. SoCalGas claims in its May 5 letter that:</w:t>
      </w:r>
    </w:p>
    <w:p>
      <w:pPr>
        <w:pStyle w:val="Normal"/>
        <w:ind w:firstLine="360" w:end="0"/>
        <w:rPr/>
      </w:pPr>
      <w:r>
        <w:rPr/>
      </w:r>
    </w:p>
    <w:p>
      <w:pPr>
        <w:pStyle w:val="BodyTextIndent"/>
        <w:spacing w:lineRule="auto" w:line="240"/>
        <w:rPr/>
      </w:pPr>
      <w:r>
        <w:rPr/>
        <w:t>These questions all relate to the issues of what obligations SoCalGas and SDG&amp;E have as a result of signing the Interim Settlement and of whether SoCalGas and SDG&amp;E have breached or intend to breach such obligations, if there are any.</w:t>
      </w:r>
    </w:p>
    <w:p>
      <w:pPr>
        <w:pStyle w:val="Normal"/>
        <w:spacing w:lineRule="auto" w:line="240"/>
        <w:ind w:start="360" w:end="0"/>
        <w:rPr/>
      </w:pPr>
      <w:r>
        <w:rPr/>
      </w:r>
    </w:p>
    <w:p>
      <w:pPr>
        <w:pStyle w:val="Normal"/>
        <w:spacing w:lineRule="auto" w:line="240"/>
        <w:ind w:start="360" w:end="0"/>
        <w:rPr/>
      </w:pPr>
      <w:r>
        <w:rPr/>
        <w:t>Such questions are simply irrelevant to the issues to be decided by the Commission in I. 99-07-003. … None of the questions in the data request seeks any information that would help the Commission determine whehter or not a particular settlement is in the public interest, nor are the questions reasonably calculated to lead to the discover of any such information.</w:t>
      </w:r>
    </w:p>
    <w:p>
      <w:pPr>
        <w:pStyle w:val="Normal"/>
        <w:ind w:firstLine="360" w:end="0"/>
        <w:rPr/>
      </w:pPr>
      <w:r>
        <w:rPr/>
      </w:r>
    </w:p>
    <w:p>
      <w:pPr>
        <w:pStyle w:val="Normal"/>
        <w:ind w:firstLine="360" w:end="0"/>
        <w:rPr/>
      </w:pPr>
      <w:r>
        <w:rPr/>
        <w:t xml:space="preserve">SoCalGas’ assertion is incorrect primarily because SoCalGas mischaracterizes TURN’s data request when it states that </w:t>
      </w:r>
      <w:r>
        <w:rPr>
          <w:u w:val="single"/>
        </w:rPr>
        <w:t>all</w:t>
      </w:r>
      <w:r>
        <w:rPr/>
        <w:t xml:space="preserve"> the questions relate to the issue of contractual obligations and breach.  TURN withdrew five specific questions (nos. 3, 6, 7, 10 and 21) which did relate to the issue of obligation and breach.</w:t>
      </w:r>
      <w:r>
        <w:rPr>
          <w:rStyle w:val="FootnoteCharacters"/>
          <w:rStyle w:val="FootnoteReference"/>
        </w:rPr>
        <w:footnoteReference w:id="4"/>
      </w:r>
      <w:r>
        <w:rPr/>
        <w:t xml:space="preserve"> The remaining questions request an explanation of the language of the Interim Settlement and of the Comprehensive Settlement and a clarification of SoCalGas’ position in this proceeding.  These questions are all relevant for the reasons discussed above.</w:t>
      </w:r>
    </w:p>
    <w:p>
      <w:pPr>
        <w:pStyle w:val="Normal"/>
        <w:ind w:firstLine="360" w:end="0"/>
        <w:rPr/>
      </w:pPr>
      <w:r>
        <w:rPr/>
        <w:t>Questions 4, 5, 8, 9 and 12 request an explanation of SoCalGas’ understanding of language in the Interim Settlement and of SoCalGas’ position with respect to certain terms of the Interim Settlement.  These questions use phrases such as “your position,” “continue to urge,” “continue to agree” to elicit clarification of SoCalGas’ current position regarding terms in the Interim Settlement.</w:t>
      </w:r>
    </w:p>
    <w:p>
      <w:pPr>
        <w:pStyle w:val="Normal"/>
        <w:ind w:firstLine="360" w:end="0"/>
        <w:rPr/>
      </w:pPr>
      <w:r>
        <w:rPr/>
        <w:t>Questions 13, 14, 17, 18, 19 and 20 request an explanation of SoCalGas’ understanding of language in the Comprehensive Settlement and of SoCalGas’ position with respect to certain terms of the Comprehensive Settlement and certain inconsistencies between the two settlements.  Question 14 and its subparts, for example, seek some clarification of the circularity inherent in SoCalGas’ position.</w:t>
      </w:r>
    </w:p>
    <w:p>
      <w:pPr>
        <w:pStyle w:val="Normal"/>
        <w:ind w:firstLine="360" w:end="0"/>
        <w:rPr/>
      </w:pPr>
      <w:r>
        <w:rPr/>
        <w:t>Questions 15 and 18.1 seek information regarding SoCalGas’ position and intent with respect to expert testimony.  TURN maintains that these questions are relevant, though their focus is less on the meaning of the particular settlements. TURN withdraws its request for responses to questions 11 and 19.1.</w:t>
      </w:r>
    </w:p>
    <w:p>
      <w:pPr>
        <w:pStyle w:val="Normal"/>
        <w:ind w:firstLine="360" w:end="0"/>
        <w:rPr/>
      </w:pPr>
      <w:r>
        <w:rPr/>
      </w:r>
    </w:p>
    <w:p>
      <w:pPr>
        <w:pStyle w:val="Normal"/>
        <w:numPr>
          <w:ilvl w:val="0"/>
          <w:numId w:val="3"/>
        </w:numPr>
        <w:rPr/>
      </w:pPr>
      <w:r>
        <w:rPr>
          <w:b/>
        </w:rPr>
        <w:t>SoCalGas’ Other Objections Are Invalid Or Have Been Resolved By TURN’s Withdrawal Of Five Questions</w:t>
      </w:r>
    </w:p>
    <w:p>
      <w:pPr>
        <w:pStyle w:val="Normal"/>
        <w:numPr>
          <w:ilvl w:val="1"/>
          <w:numId w:val="3"/>
        </w:numPr>
        <w:rPr>
          <w:u w:val="single"/>
        </w:rPr>
      </w:pPr>
      <w:r>
        <w:rPr>
          <w:u w:val="single"/>
        </w:rPr>
        <w:t>TURN Withdraws Six Questions Relating To Contractual Obligation</w:t>
      </w:r>
    </w:p>
    <w:p>
      <w:pPr>
        <w:pStyle w:val="Normal"/>
        <w:ind w:firstLine="360" w:end="0"/>
        <w:rPr/>
      </w:pPr>
      <w:r>
        <w:rPr/>
        <w:t>TURN withdraws six specific questions (nos. 3, 6, 7, 10, 11 and 21) which arguably relate to the issue of obligation and breach. SoCalGas’ objection regarding standing would apply, if at all, to these particular questions.</w:t>
      </w:r>
    </w:p>
    <w:p>
      <w:pPr>
        <w:pStyle w:val="Normal"/>
        <w:ind w:firstLine="360" w:end="0"/>
        <w:rPr/>
      </w:pPr>
      <w:r>
        <w:rPr/>
      </w:r>
    </w:p>
    <w:p>
      <w:pPr>
        <w:pStyle w:val="Normal"/>
        <w:numPr>
          <w:ilvl w:val="1"/>
          <w:numId w:val="3"/>
        </w:numPr>
        <w:rPr/>
      </w:pPr>
      <w:r>
        <w:rPr>
          <w:u w:val="single"/>
        </w:rPr>
        <w:t>TURN’s Amended Data Request Does Not Call For Privileged Attorney Work Product Or For Legal Conclusions Or Opinions</w:t>
      </w:r>
    </w:p>
    <w:p>
      <w:pPr>
        <w:pStyle w:val="Normal"/>
        <w:ind w:firstLine="360" w:end="0"/>
        <w:rPr/>
      </w:pPr>
      <w:r>
        <w:rPr/>
        <w:t>SoCalGas objects to seven questions (and/or their subparts)</w:t>
      </w:r>
      <w:r>
        <w:rPr>
          <w:rStyle w:val="FootnoteCharacters"/>
          <w:rStyle w:val="FootnoteReference"/>
        </w:rPr>
        <w:footnoteReference w:id="5"/>
      </w:r>
      <w:r>
        <w:rPr/>
        <w:t xml:space="preserve"> on the basis of attorney work product privilege. TURN does not seek information which is privileged under the work product doctrine. SoCalGas cites to a 1976 case which provided qualified privilege against disclosure of a list of </w:t>
      </w:r>
      <w:r>
        <w:rPr>
          <w:u w:val="single"/>
        </w:rPr>
        <w:t>nonexpert witnesses</w:t>
      </w:r>
      <w:r>
        <w:rPr/>
        <w:t xml:space="preserve"> and an absolute privilege against disclosure of the “the extent” of </w:t>
      </w:r>
      <w:r>
        <w:rPr>
          <w:u w:val="single"/>
        </w:rPr>
        <w:t>nonexpert witness testimony</w:t>
      </w:r>
      <w:r>
        <w:rPr/>
        <w:t xml:space="preserve">.  </w:t>
      </w:r>
      <w:r>
        <w:rPr>
          <w:u w:val="single"/>
        </w:rPr>
        <w:t>City of Long Beach v. Superior Court</w:t>
      </w:r>
      <w:r>
        <w:rPr/>
        <w:t xml:space="preserve"> (1976) 64 Cal.App.3d 65, 79-80.  </w:t>
      </w:r>
    </w:p>
    <w:p>
      <w:pPr>
        <w:pStyle w:val="Normal"/>
        <w:ind w:firstLine="360" w:end="0"/>
        <w:rPr/>
      </w:pPr>
      <w:r>
        <w:rPr/>
        <w:t xml:space="preserve">This holding in </w:t>
      </w:r>
      <w:r>
        <w:rPr>
          <w:u w:val="single"/>
        </w:rPr>
        <w:t>Long Beach</w:t>
      </w:r>
      <w:r>
        <w:rPr/>
        <w:t xml:space="preserve"> has little relevance to TURN’s requests and only underscores the validity of TURN’s request. While testimony had not yet been filed at the time the discovery request was propounded, it was reasonable to assume that TURN’s request called for a response by an expert witness for SoCalGas. As detailed above, SoCalGas reiterated its confusing position in the testimony of expert witness Lad Lorenz.  Guidance for discovery of expert witness information is offered by Section 2034 of the California Code of Civil Procedure, adopted in 1978.  Section 2034(f) requires that parties exchange information including a declaration containing “a narrative statement of the general substance of  the [expert] testimony.” Furthermore, expert witnesses are to be made available for deposition.  The work-product doctrine does not apply to experts who are expected to testify.  </w:t>
      </w:r>
      <w:r>
        <w:rPr>
          <w:u w:val="single"/>
        </w:rPr>
        <w:t>Sanders v. Superior Court,</w:t>
      </w:r>
      <w:r>
        <w:rPr/>
        <w:t xml:space="preserve"> (1973) 34 Cal.App.3d 270, 277 (quoting </w:t>
      </w:r>
      <w:r>
        <w:rPr>
          <w:u w:val="single"/>
        </w:rPr>
        <w:t>Swartzman v. Superior Court,</w:t>
      </w:r>
      <w:r>
        <w:rPr/>
        <w:t xml:space="preserve"> (1964) 231 Cal. App.2d 195, 204.</w:t>
      </w:r>
    </w:p>
    <w:p>
      <w:pPr>
        <w:pStyle w:val="Normal"/>
        <w:ind w:firstLine="360" w:end="0"/>
        <w:rPr/>
      </w:pPr>
      <w:r>
        <w:rPr/>
        <w:t>SoCalGas objected to eleven questions (and/or their subparts)</w:t>
      </w:r>
      <w:r>
        <w:rPr>
          <w:rStyle w:val="FootnoteCharacters"/>
          <w:rStyle w:val="FootnoteReference"/>
        </w:rPr>
        <w:footnoteReference w:id="6"/>
      </w:r>
      <w:r>
        <w:rPr/>
        <w:t xml:space="preserve"> on the grounds that they call for legal conclusions and opinions.  TURN notes, first of all, that TURN has already withdrawn five of the eleven questions.  The remaining questions call for a statement of SoCalGas’ position, intent or the meaning of settlement terms.  Asking for the meaning of settlement terms is not calling for legal analysis or conclusion in the sense of requiring a statement or interpretation of the law.  It is calling for the interpretation of settlement text by a signatory party.  </w:t>
      </w:r>
    </w:p>
    <w:p>
      <w:pPr>
        <w:pStyle w:val="Normal"/>
        <w:ind w:firstLine="360" w:end="0"/>
        <w:rPr/>
      </w:pPr>
      <w:r>
        <w:rPr/>
      </w:r>
    </w:p>
    <w:p>
      <w:pPr>
        <w:pStyle w:val="Heading4"/>
        <w:rPr/>
      </w:pPr>
      <w:r>
        <w:rPr/>
        <w:t>CONCLUSION</w:t>
      </w:r>
    </w:p>
    <w:p>
      <w:pPr>
        <w:pStyle w:val="Normal"/>
        <w:ind w:firstLine="360" w:end="0"/>
        <w:rPr/>
      </w:pPr>
      <w:r>
        <w:rPr/>
      </w:r>
    </w:p>
    <w:p>
      <w:pPr>
        <w:pStyle w:val="BodyTextIndent2"/>
        <w:rPr/>
      </w:pPr>
      <w:r>
        <w:rPr/>
        <w:tab/>
        <w:t>SoCalGas’ blanket refusal to answer TURN’s April 27, 2000 data request is without justification.  The questions call for interpretation of settlement text, clarification of SoCalGas’ position, and are designed to determine just what is SoCalGas’ position in this proceeding.  Such information should be highly useful and helpful for the Commission in determining which settlement is “in the public interest.”  TURN requests that the Commission issue an order (proposed order enclosed as Attachment 3) compelling SoCalGas to answer the data request as amended herein (excluding questions 3, 6, 7, 10, 11, 19.1 and 21).</w:t>
      </w:r>
    </w:p>
    <w:p>
      <w:pPr>
        <w:pStyle w:val="BodyTextIndent2"/>
        <w:rPr/>
      </w:pPr>
      <w:r>
        <w:rPr/>
      </w:r>
    </w:p>
    <w:p>
      <w:pPr>
        <w:pStyle w:val="BodyTextIndent2"/>
        <w:jc w:val="center"/>
        <w:rPr>
          <w:b/>
        </w:rPr>
      </w:pPr>
      <w:r>
        <w:rPr>
          <w:b/>
        </w:rPr>
        <w:t>REQUEST FOR SHORTENED RESPONSE TIME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The Administrative Law Judge has scheduled a Prehearing Conference in proceeding for May 25, 2000, ten days after the filing of the Motion to Compel.  Hearings re scheduled to begin on May 30.  TURN suggests that the May 25 Prehearing Conference offers the most expedient opportunity for resolving this dispute.  A ruling on May 25 would allow for submission of the requested information prior to closure of hearings.  For this reason, TURN requests that the response time be shortened by two days, to May 23, 2000.</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TURN is sending a courtesy email copy of this motion to the service list.  Thus, a two day shortening should not unduly burden respondents.  Courtesy email service of response motions would allow all parties, and most importantly the ALJ herself, to read the relevant documents prior to May 25.</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ab/>
        <w:tab/>
        <w:tab/>
        <w:tab/>
        <w:tab/>
        <w:t>Respectfully submitted,</w:t>
        <w:tab/>
        <w:tab/>
        <w:tab/>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ab/>
        <w:tab/>
        <w:tab/>
        <w:tab/>
        <w:tab/>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start="4320" w:end="0"/>
        <w:rPr/>
      </w:pPr>
      <w:r>
        <w:rPr/>
        <w:t>By:</w:t>
        <w:tab/>
        <w:t>________________________</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start="4320" w:end="0"/>
        <w:rPr/>
      </w:pPr>
      <w:r>
        <w:rPr/>
        <w:tab/>
        <w:t>Marcel Hawiger</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firstLine="720" w:start="4320" w:end="0"/>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ab/>
        <w:tab/>
        <w:tab/>
        <w:tab/>
        <w:tab/>
        <w:t>Marcel Hawiger, Staff Attorney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ab/>
        <w:tab/>
        <w:tab/>
        <w:tab/>
        <w:tab/>
        <w:t>THE UTILITY REFORM NETWORK</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711 Van Ness Avenue, Suite 350</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San Francisco, CA 94102</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 xml:space="preserve">Phone: </w:t>
        <w:tab/>
        <w:t>(415) 929-8876</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Fax:</w:t>
        <w:tab/>
        <w:tab/>
        <w:t>(415) 929-1132</w:t>
      </w:r>
    </w:p>
    <w:p>
      <w:pPr>
        <w:pStyle w:val="Normal"/>
        <w:spacing w:lineRule="auto" w:line="240"/>
        <w:ind w:firstLine="720" w:end="0"/>
        <w:rPr/>
      </w:pPr>
      <w:r>
        <w:rPr/>
        <w:tab/>
        <w:tab/>
        <w:tab/>
        <w:tab/>
        <w:tab/>
        <w:t>Email:</w:t>
        <w:tab/>
        <w:tab/>
        <w:t>marcel@turn.org</w:t>
      </w:r>
    </w:p>
    <w:p>
      <w:pPr>
        <w:pStyle w:val="Normal"/>
        <w:spacing w:lineRule="auto" w:line="240"/>
        <w:rPr/>
      </w:pPr>
      <w:r>
        <w:rPr/>
        <w:t>Dated:</w:t>
        <w:tab/>
        <w:tab/>
        <w:t>__________________</w:t>
      </w:r>
    </w:p>
    <w:p>
      <w:pPr>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pStyle w:val="Normal"/>
        <w:ind w:firstLine="360" w:end="0"/>
        <w:rPr/>
      </w:pPr>
      <w:r>
        <w:rPr/>
      </w:r>
    </w:p>
    <w:p>
      <w:pPr>
        <w:pStyle w:val="Heading5"/>
        <w:rPr/>
      </w:pPr>
      <w:r>
        <w:rPr/>
        <w:t>DECLARATION OF MARCEL HAWIGER</w:t>
      </w:r>
    </w:p>
    <w:p>
      <w:pPr>
        <w:pStyle w:val="Normal"/>
        <w:rPr/>
      </w:pPr>
      <w:r>
        <w:rPr/>
      </w:r>
    </w:p>
    <w:p>
      <w:pPr>
        <w:pStyle w:val="Normal"/>
        <w:spacing w:lineRule="auto" w:line="240"/>
        <w:ind w:firstLine="720" w:start="720" w:end="0"/>
        <w:rPr/>
      </w:pPr>
      <w:r>
        <w:rPr/>
        <w:t>I, Marcel Hawiger, state:</w:t>
      </w:r>
    </w:p>
    <w:p>
      <w:pPr>
        <w:pStyle w:val="Normal"/>
        <w:spacing w:lineRule="auto" w:line="240"/>
        <w:ind w:start="720" w:end="0"/>
        <w:rPr/>
      </w:pPr>
      <w:r>
        <w:rPr/>
      </w:r>
    </w:p>
    <w:p>
      <w:pPr>
        <w:pStyle w:val="Normal"/>
        <w:spacing w:lineRule="auto" w:line="240"/>
        <w:ind w:firstLine="720" w:start="720" w:end="0"/>
        <w:rPr/>
      </w:pPr>
      <w:r>
        <w:rPr/>
        <w:t>I am a staff attorney for The Utility Reform Network (TURN) and represent TURN in Investigation 99-07-003 before the California Public Utilities Commission.</w:t>
      </w:r>
    </w:p>
    <w:p>
      <w:pPr>
        <w:pStyle w:val="Normal"/>
        <w:spacing w:lineRule="auto" w:line="240"/>
        <w:ind w:firstLine="720" w:start="720" w:end="0"/>
        <w:rPr/>
      </w:pPr>
      <w:r>
        <w:rPr/>
      </w:r>
    </w:p>
    <w:p>
      <w:pPr>
        <w:pStyle w:val="Normal"/>
        <w:spacing w:lineRule="auto" w:line="240"/>
        <w:ind w:firstLine="720" w:start="720" w:end="0"/>
        <w:rPr/>
      </w:pPr>
      <w:r>
        <w:rPr/>
        <w:t>On April 27, 2000, TURN submitted a data request, containing twenty-one questions, to the Southern California Gas Company, as well as to certain other parties to the proceeding, requesting a response by May 12.  On May 5, 2000, SoCalGas responded by letter and objected to all but two questions.  On May 10, 2000, I called Mr. Glen Sullivan, counsel for SoCalGas, regarding the objected Data Request.  I stated that TURN was withdrawing its request for responses to questions 3, 6, 7, 10, and 21, but renewed the request for responses to other questions. The parties discussed the rationale for their respective positions.  On May 11, 2000, Mr. Sullivan left a telephone voice message stating that SoCalGas continues its objections and would not respond to any of the other questions in the Data Request.</w:t>
      </w:r>
    </w:p>
    <w:p>
      <w:pPr>
        <w:pStyle w:val="Normal"/>
        <w:spacing w:lineRule="auto" w:line="240"/>
        <w:ind w:firstLine="720" w:start="720" w:end="0"/>
        <w:rPr/>
      </w:pPr>
      <w:r>
        <w:rPr/>
      </w:r>
    </w:p>
    <w:p>
      <w:pPr>
        <w:pStyle w:val="Normal"/>
        <w:spacing w:lineRule="auto" w:line="240"/>
        <w:ind w:firstLine="720" w:start="720" w:end="0"/>
        <w:rPr/>
      </w:pPr>
      <w:r>
        <w:rPr/>
        <w:t>I declare under penalty of perjury under the law of the State of California that the foregoing is true and correct to the best of my knowledge, information and belief.</w:t>
      </w:r>
    </w:p>
    <w:p>
      <w:pPr>
        <w:pStyle w:val="Normal"/>
        <w:spacing w:lineRule="auto" w:line="240"/>
        <w:ind w:firstLine="720" w:start="720" w:end="0"/>
        <w:rPr/>
      </w:pPr>
      <w:r>
        <w:rPr/>
      </w:r>
    </w:p>
    <w:p>
      <w:pPr>
        <w:pStyle w:val="Normal"/>
        <w:spacing w:lineRule="auto" w:line="240"/>
        <w:ind w:firstLine="720" w:start="720" w:end="0"/>
        <w:rPr/>
      </w:pPr>
      <w:r>
        <w:rPr/>
        <w:t>Dated:</w:t>
        <w:tab/>
        <w:tab/>
      </w:r>
      <w:r>
        <w:rPr>
          <w:u w:val="single"/>
        </w:rPr>
        <w:t>May 12, 2000</w:t>
      </w:r>
      <w:r>
        <w:rPr/>
        <w:tab/>
        <w:t>_________________</w:t>
      </w:r>
    </w:p>
    <w:p>
      <w:pPr>
        <w:sectPr>
          <w:footerReference w:type="default" r:id="rId3"/>
          <w:footerReference w:type="first" r:id="rId4"/>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pStyle w:val="Normal"/>
        <w:spacing w:lineRule="auto" w:line="240"/>
        <w:ind w:firstLine="720" w:start="720" w:end="0"/>
        <w:rPr/>
      </w:pPr>
      <w:r>
        <w:rPr/>
        <w:tab/>
        <w:tab/>
        <w:tab/>
        <w:tab/>
        <w:tab/>
        <w:t>Marcel Hawiger</w:t>
      </w:r>
    </w:p>
    <w:p>
      <w:pPr>
        <w:pStyle w:val="Normal"/>
        <w:spacing w:lineRule="auto" w:line="240"/>
        <w:jc w:val="center"/>
        <w:rPr>
          <w:b/>
          <w:sz w:val="28"/>
        </w:rPr>
      </w:pPr>
      <w:r>
        <w:rPr>
          <w:b/>
          <w:sz w:val="28"/>
        </w:rPr>
        <w:t xml:space="preserve">BEFORE THE PUBLIC UTILITIES COMMISSION </w:t>
      </w:r>
    </w:p>
    <w:p>
      <w:pPr>
        <w:pStyle w:val="Normal"/>
        <w:spacing w:lineRule="auto" w:line="240"/>
        <w:jc w:val="center"/>
        <w:rPr>
          <w:b/>
        </w:rPr>
      </w:pPr>
      <w:r>
        <w:rPr>
          <w:b/>
          <w:sz w:val="28"/>
        </w:rPr>
        <w:t>OF THE STATE OF CALIFORNIA</w:t>
      </w:r>
    </w:p>
    <w:p>
      <w:pPr>
        <w:pStyle w:val="Normal"/>
        <w:spacing w:lineRule="auto" w:line="240"/>
        <w:jc w:val="center"/>
        <w:rPr>
          <w:b/>
        </w:rPr>
      </w:pPr>
      <w:r>
        <w:rPr>
          <w:b/>
        </w:rPr>
      </w:r>
    </w:p>
    <w:p>
      <w:pPr>
        <w:pStyle w:val="Normal"/>
        <w:spacing w:lineRule="auto" w:line="240"/>
        <w:jc w:val="center"/>
        <w:rPr>
          <w:b/>
        </w:rPr>
      </w:pPr>
      <w:r>
        <w:rPr>
          <w:b/>
        </w:rPr>
      </w:r>
    </w:p>
    <w:p>
      <w:pPr>
        <w:pStyle w:val="Normal"/>
        <w:spacing w:lineRule="auto" w:line="240"/>
        <w:rPr/>
      </w:pPr>
      <w:r>
        <w:rPr/>
        <w:t>Investigation on the Commission’s Own Motion</w:t>
        <w:tab/>
        <w:tab/>
        <w:t>)</w:t>
      </w:r>
    </w:p>
    <w:p>
      <w:pPr>
        <w:pStyle w:val="Normal"/>
        <w:spacing w:lineRule="auto" w:line="240"/>
        <w:rPr/>
      </w:pPr>
      <w:r>
        <w:rPr/>
        <w:t>To Consider the Costs and Benefits of Various</w:t>
        <w:tab/>
        <w:tab/>
        <w:t>)</w:t>
      </w:r>
    </w:p>
    <w:p>
      <w:pPr>
        <w:pStyle w:val="Normal"/>
        <w:spacing w:lineRule="auto" w:line="240"/>
        <w:rPr/>
      </w:pPr>
      <w:r>
        <w:rPr/>
        <w:t xml:space="preserve">Promising Revisions to the Regulatory and </w:t>
        <w:tab/>
        <w:tab/>
        <w:t>)</w:t>
        <w:tab/>
        <w:t>I.99-07-003</w:t>
      </w:r>
    </w:p>
    <w:p>
      <w:pPr>
        <w:pStyle w:val="Normal"/>
        <w:spacing w:lineRule="auto" w:line="240"/>
        <w:rPr/>
      </w:pPr>
      <w:r>
        <w:rPr/>
        <w:t>Market Structure Governing California’s Natural</w:t>
        <w:tab/>
        <w:t>)</w:t>
      </w:r>
    </w:p>
    <w:p>
      <w:pPr>
        <w:pStyle w:val="Normal"/>
        <w:spacing w:lineRule="auto" w:line="240"/>
        <w:rPr/>
      </w:pPr>
      <w:r>
        <w:rPr/>
        <w:t>Gas Industry and to Report to the California</w:t>
        <w:tab/>
        <w:tab/>
        <w:t>)</w:t>
      </w:r>
    </w:p>
    <w:p>
      <w:pPr>
        <w:pStyle w:val="Normal"/>
        <w:spacing w:lineRule="auto" w:line="240"/>
        <w:rPr/>
      </w:pPr>
      <w:r>
        <w:rPr/>
        <w:t>Legislature on the Commission’s Findings.</w:t>
        <w:tab/>
        <w:tab/>
        <w:t>)</w:t>
      </w:r>
    </w:p>
    <w:p>
      <w:pPr>
        <w:pStyle w:val="Normal"/>
        <w:spacing w:lineRule="auto" w:line="240"/>
        <w:rPr/>
      </w:pPr>
      <w:r>
        <w:rPr>
          <w:u w:val="single"/>
        </w:rPr>
        <w:tab/>
        <w:tab/>
        <w:tab/>
        <w:tab/>
        <w:tab/>
        <w:tab/>
        <w:tab/>
        <w:tab/>
      </w:r>
      <w:r>
        <w:rPr/>
        <w:t>)</w:t>
      </w:r>
    </w:p>
    <w:p>
      <w:pPr>
        <w:pStyle w:val="Normal"/>
        <w:rPr/>
      </w:pPr>
      <w:r>
        <w:rPr/>
      </w:r>
    </w:p>
    <w:p>
      <w:pPr>
        <w:pStyle w:val="Normal"/>
        <w:jc w:val="center"/>
        <w:rPr>
          <w:b/>
        </w:rPr>
      </w:pPr>
      <w:r>
        <w:rPr>
          <w:b/>
        </w:rPr>
        <w:t>[Proposed] Order Compelling Discovery Responses</w:t>
      </w:r>
    </w:p>
    <w:p>
      <w:pPr>
        <w:pStyle w:val="Normal"/>
        <w:rPr>
          <w:b/>
        </w:rPr>
      </w:pPr>
      <w:r>
        <w:rPr>
          <w:b/>
        </w:rPr>
      </w:r>
    </w:p>
    <w:p>
      <w:pPr>
        <w:pStyle w:val="Normal"/>
        <w:ind w:firstLine="720" w:start="720" w:end="0"/>
        <w:rPr/>
      </w:pPr>
      <w:r>
        <w:rPr/>
        <w:t>On May 15, 2000, The Utility Reform Network (TURN) filed a Motion to Compel Discovery Responses by Southern California Gas Company (SoCalGas) in this proceeding.  TURN states that SoCalGas has refused to answer to a data request which seeks information relevant to the issue of SoCalGas’ interpretation of settlement text and SoCalGas’ position, as stated in motions and testimony, with respect to two settlements filed in this proceeding.  TURN and SoCalGas have conferred regarding this matter but were not able to resolve the dispute informally.</w:t>
      </w:r>
    </w:p>
    <w:p>
      <w:pPr>
        <w:pStyle w:val="Normal"/>
        <w:ind w:firstLine="720" w:start="720" w:end="0"/>
        <w:rPr/>
      </w:pPr>
      <w:r>
        <w:rPr/>
        <w:t>TURN argues that the questions ask for SoCalGas’ interpretation of the language of two settlements filed in this proceeding, and ask for clarification of SoCalGas’ position as expressed in motions and testimony.  Such information is relevant and not protected by any privilege.  Good cause having been shown, TURN’s Motion to Compel Discovery Requests is hereby granted.</w:t>
      </w:r>
    </w:p>
    <w:p>
      <w:pPr>
        <w:pStyle w:val="Normal"/>
        <w:ind w:firstLine="720" w:start="720" w:end="0"/>
        <w:rPr/>
      </w:pPr>
      <w:r>
        <w:rPr/>
        <w:t>IT IS ORDERED THAT:  SoCalGas shall provide reponses to TURN’s data request of April 27, 2000 within 3 days of the date of this order.</w:t>
      </w:r>
    </w:p>
    <w:p>
      <w:pPr>
        <w:pStyle w:val="Normal"/>
        <w:ind w:firstLine="720" w:start="720" w:end="0"/>
        <w:rPr/>
      </w:pPr>
      <w:r>
        <w:rPr/>
      </w:r>
    </w:p>
    <w:p>
      <w:pPr>
        <w:pStyle w:val="Normal"/>
        <w:ind w:firstLine="720" w:start="720" w:end="0"/>
        <w:rPr/>
      </w:pPr>
      <w:r>
        <w:rPr/>
        <w:t>Dated:</w:t>
        <w:tab/>
        <w:t>___________</w:t>
        <w:tab/>
        <w:tab/>
        <w:t>By: _________________</w:t>
      </w:r>
      <w:r>
        <w:br w:type="page"/>
      </w:r>
    </w:p>
    <w:p>
      <w:pPr>
        <w:pStyle w:val="Heading1"/>
        <w:numPr>
          <w:ilvl w:val="0"/>
          <w:numId w:val="0"/>
        </w:numPr>
        <w:spacing w:lineRule="auto" w:line="480" w:before="0" w:after="0"/>
        <w:ind w:hanging="0" w:start="0"/>
        <w:jc w:val="center"/>
        <w:rPr>
          <w:caps w:val="false"/>
          <w:smallCaps w:val="false"/>
        </w:rPr>
      </w:pPr>
      <w:r>
        <w:rPr>
          <w:caps w:val="false"/>
          <w:smallCaps w:val="false"/>
        </w:rPr>
      </w:r>
      <w:r>
        <w:br w:type="page"/>
      </w:r>
    </w:p>
    <w:p>
      <w:pPr>
        <w:pStyle w:val="Heading1"/>
        <w:spacing w:lineRule="auto" w:line="480" w:before="0" w:after="0"/>
        <w:jc w:val="center"/>
        <w:rPr>
          <w:caps w:val="false"/>
          <w:smallCaps w:val="false"/>
        </w:rPr>
      </w:pPr>
      <w:r>
        <w:rPr>
          <w:caps w:val="false"/>
          <w:smallCaps w:val="false"/>
        </w:rPr>
        <w:t>ATTACHMENT 1</w:t>
      </w:r>
    </w:p>
    <w:p>
      <w:pPr>
        <w:pStyle w:val="Normal"/>
        <w:jc w:val="center"/>
        <w:rPr>
          <w:b/>
          <w:caps/>
        </w:rPr>
      </w:pPr>
      <w:r>
        <w:rPr>
          <w:b/>
          <w:caps/>
        </w:rPr>
      </w:r>
    </w:p>
    <w:p>
      <w:pPr>
        <w:pStyle w:val="Normal"/>
        <w:jc w:val="center"/>
        <w:rPr>
          <w:b/>
        </w:rPr>
      </w:pPr>
      <w:r>
        <w:rPr>
          <w:b/>
        </w:rPr>
        <w:t>TURN Data Request dated April 27, 2000</w:t>
      </w:r>
      <w:r>
        <w:br w:type="page"/>
      </w:r>
    </w:p>
    <w:p>
      <w:pPr>
        <w:pStyle w:val="Normal"/>
        <w:jc w:val="center"/>
        <w:rPr>
          <w:b/>
        </w:rPr>
      </w:pPr>
      <w:r>
        <w:rPr>
          <w:b/>
        </w:rPr>
        <w:t>ATTACHMENT 2</w:t>
      </w:r>
    </w:p>
    <w:p>
      <w:pPr>
        <w:pStyle w:val="Normal"/>
        <w:jc w:val="center"/>
        <w:rPr>
          <w:b/>
        </w:rPr>
      </w:pPr>
      <w:r>
        <w:rPr>
          <w:b/>
        </w:rPr>
      </w:r>
    </w:p>
    <w:p>
      <w:pPr>
        <w:pStyle w:val="Normal"/>
        <w:jc w:val="center"/>
        <w:rPr>
          <w:b/>
        </w:rPr>
      </w:pPr>
      <w:r>
        <w:rPr>
          <w:b/>
        </w:rPr>
        <w:t>Declaration of TURN Staff Attorney Marcel Hawiger</w:t>
      </w:r>
      <w:r>
        <w:br w:type="page"/>
      </w:r>
    </w:p>
    <w:p>
      <w:pPr>
        <w:pStyle w:val="Heading5"/>
        <w:rPr/>
      </w:pPr>
      <w:r>
        <w:rPr/>
        <w:t>ATTACHMENT 3</w:t>
      </w:r>
    </w:p>
    <w:p>
      <w:pPr>
        <w:pStyle w:val="Normal"/>
        <w:rPr/>
      </w:pPr>
      <w:r>
        <w:rPr/>
      </w:r>
    </w:p>
    <w:p>
      <w:pPr>
        <w:pStyle w:val="Heading6"/>
        <w:rPr/>
      </w:pPr>
      <w:r>
        <w:rPr/>
        <w:t>Proposed Order Granting TURN’s Motion</w:t>
      </w:r>
    </w:p>
    <w:sectPr>
      <w:footerReference w:type="default" r:id="rId5"/>
      <w:footerReference w:type="first" r:id="rId6"/>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6954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09.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Post-Interim Settlement incorporates all of the Interim Settlement but includes certain additional provisions that extend after 1/1/03 and into 2006.</w:t>
      </w:r>
    </w:p>
  </w:footnote>
  <w:footnote w:id="3">
    <w:p>
      <w:pPr>
        <w:pStyle w:val="FootnoteText"/>
        <w:rPr/>
      </w:pPr>
      <w:r>
        <w:rPr>
          <w:rStyle w:val="FootnoteCharacters"/>
        </w:rPr>
        <w:footnoteRef/>
      </w:r>
      <w:r>
        <w:rPr/>
        <w:t xml:space="preserve"> </w:t>
      </w:r>
      <w:r>
        <w:rPr/>
        <w:t xml:space="preserve">As an aside, TURN notes that the meaning and purpose of a settlement is fundamentally called into question if the Commission accepts SoCalGas’ position.  If a party can pick and choose elements of competing settlements based on an </w:t>
      </w:r>
      <w:r>
        <w:rPr>
          <w:u w:val="single"/>
        </w:rPr>
        <w:t>after the fact</w:t>
      </w:r>
      <w:r>
        <w:rPr/>
        <w:t xml:space="preserve"> result of the Commission deliberations, what is the point of any other party entering into a settlement?  The whole point of a settlement was to prevent litigation by agreeing to a compromise package that binds all parties.  However, since it was not a signatory to the Interim Settlement, TURN withdrew the Data Request questions which addressed the nature of the obligations imposed by a settlement.</w:t>
      </w:r>
    </w:p>
  </w:footnote>
  <w:footnote w:id="4">
    <w:p>
      <w:pPr>
        <w:pStyle w:val="FootnoteText"/>
        <w:rPr/>
      </w:pPr>
      <w:r>
        <w:rPr>
          <w:rStyle w:val="FootnoteCharacters"/>
        </w:rPr>
        <w:footnoteRef/>
      </w:r>
      <w:r>
        <w:rPr/>
        <w:t xml:space="preserve"> </w:t>
      </w:r>
      <w:r>
        <w:rPr/>
        <w:t>SoCalGas’ objections regarding standing and calling for legal conclusion may apply, if at all, to these particular questions.</w:t>
      </w:r>
    </w:p>
  </w:footnote>
  <w:footnote w:id="5">
    <w:p>
      <w:pPr>
        <w:pStyle w:val="FootnoteText"/>
        <w:rPr/>
      </w:pPr>
      <w:r>
        <w:rPr>
          <w:rStyle w:val="FootnoteCharacters"/>
        </w:rPr>
        <w:footnoteRef/>
      </w:r>
      <w:r>
        <w:rPr/>
        <w:t xml:space="preserve"> </w:t>
      </w:r>
      <w:r>
        <w:rPr/>
        <w:t>Questions 12 (including 12.1 and 12.2), 13 (and 13.1), 15, 16, 17, 18.1 and 19.1</w:t>
      </w:r>
    </w:p>
  </w:footnote>
  <w:footnote w:id="6">
    <w:p>
      <w:pPr>
        <w:pStyle w:val="FootnoteText"/>
        <w:rPr/>
      </w:pPr>
      <w:r>
        <w:rPr>
          <w:rStyle w:val="FootnoteCharacters"/>
        </w:rPr>
        <w:footnoteRef/>
      </w:r>
      <w:r>
        <w:rPr/>
        <w:t xml:space="preserve"> </w:t>
      </w:r>
      <w:r>
        <w:rPr/>
        <w:t>Questions 3, 5, 6, 7, 10, 14 (including 14.1-14.5), 17, 18, 19, 20 (including 20.1 and 20.2), and 21.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0"/>
      </w:numPr>
      <w:spacing w:lineRule="auto" w:line="240" w:before="240" w:after="60"/>
      <w:ind w:hanging="0" w:start="0" w:end="0"/>
      <w:outlineLvl w:val="0"/>
    </w:pPr>
    <w:rPr>
      <w:b/>
      <w:caps/>
    </w:rPr>
  </w:style>
  <w:style w:type="paragraph" w:styleId="Heading2">
    <w:name w:val="heading 2"/>
    <w:basedOn w:val="Normal"/>
    <w:next w:val="Normal"/>
    <w:qFormat/>
    <w:pPr>
      <w:keepNext w:val="true"/>
      <w:numPr>
        <w:ilvl w:val="1"/>
        <w:numId w:val="1"/>
      </w:numPr>
      <w:spacing w:before="240" w:after="60"/>
      <w:outlineLvl w:val="1"/>
    </w:pPr>
    <w:rPr>
      <w:b/>
      <w:smallCaps/>
    </w:rPr>
  </w:style>
  <w:style w:type="paragraph" w:styleId="Heading3">
    <w:name w:val="heading 3"/>
    <w:basedOn w:val="Normal"/>
    <w:next w:val="Normal"/>
    <w:qFormat/>
    <w:pPr>
      <w:keepNext w:val="true"/>
      <w:numPr>
        <w:ilvl w:val="2"/>
        <w:numId w:val="1"/>
      </w:numPr>
      <w:spacing w:lineRule="auto" w:line="240" w:before="240" w:after="60"/>
      <w:outlineLvl w:val="2"/>
    </w:pPr>
    <w:rPr>
      <w:b/>
      <w:i/>
    </w:rPr>
  </w:style>
  <w:style w:type="paragraph" w:styleId="Heading4">
    <w:name w:val="heading 4"/>
    <w:basedOn w:val="Normal"/>
    <w:next w:val="Normal"/>
    <w:qFormat/>
    <w:pPr>
      <w:keepNext w:val="true"/>
      <w:ind w:firstLine="360" w:start="0" w:end="0"/>
      <w:jc w:val="center"/>
      <w:outlineLvl w:val="3"/>
    </w:pPr>
    <w:rPr>
      <w:b/>
    </w:rPr>
  </w:style>
  <w:style w:type="paragraph" w:styleId="Heading5">
    <w:name w:val="heading 5"/>
    <w:basedOn w:val="Normal"/>
    <w:next w:val="Normal"/>
    <w:qFormat/>
    <w:pPr>
      <w:keepNext w:val="true"/>
      <w:ind w:hanging="0" w:start="720" w:end="0"/>
      <w:jc w:val="center"/>
      <w:outlineLvl w:val="4"/>
    </w:pPr>
    <w:rPr>
      <w:b/>
    </w:rPr>
  </w:style>
  <w:style w:type="paragraph" w:styleId="Heading6">
    <w:name w:val="heading 6"/>
    <w:basedOn w:val="Normal"/>
    <w:next w:val="Normal"/>
    <w:qFormat/>
    <w:pPr>
      <w:keepNext w:val="true"/>
      <w:jc w:val="center"/>
      <w:outlineLvl w:val="5"/>
    </w:pPr>
    <w:rPr>
      <w:b/>
    </w:rPr>
  </w:style>
  <w:style w:type="character" w:styleId="WW8Num1z0">
    <w:name w:val="WW8Num1z0"/>
    <w:qFormat/>
    <w:rPr/>
  </w:style>
  <w:style w:type="character" w:styleId="WW8Num2z0">
    <w:name w:val="WW8Num2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auto" w:line="240"/>
    </w:pPr>
    <w:rPr>
      <w:sz w:val="20"/>
    </w:rPr>
  </w:style>
  <w:style w:type="paragraph" w:styleId="EnvelopeAddress">
    <w:name w:val="envelope address"/>
    <w:basedOn w:val="Normal"/>
    <w:pPr>
      <w:spacing w:lineRule="auto" w:line="360"/>
      <w:ind w:hanging="0" w:start="2880" w:end="0"/>
    </w:pPr>
    <w:rPr/>
  </w:style>
  <w:style w:type="paragraph" w:styleId="BodyTextIndent">
    <w:name w:val="Body Text Indent"/>
    <w:basedOn w:val="Normal"/>
    <w:pPr>
      <w:ind w:hanging="0" w:start="360" w:end="0"/>
    </w:pPr>
    <w:rPr/>
  </w:style>
  <w:style w:type="paragraph" w:styleId="BodyTextIndent2">
    <w:name w:val="Body Text Indent 2"/>
    <w:basedOn w:val="Normal"/>
    <w:qFormat/>
    <w:pPr>
      <w:ind w:firstLine="36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2000-05-15T01:58:00Z</dcterms:created>
  <dc:creator>Marcel Hawiger</dc:creator>
  <dc:description/>
  <dc:language>en-CA</dc:language>
  <cp:lastModifiedBy>General Purpose</cp:lastModifiedBy>
  <cp:lastPrinted>2000-05-12T19:37:00Z</cp:lastPrinted>
  <dcterms:modified xsi:type="dcterms:W3CDTF">2000-05-15T02:32:00Z</dcterms:modified>
  <cp:revision>6</cp:revision>
  <dc:subject/>
  <dc:title>BEFORE THE PUBLIC UTILITIES COMMISSION </dc:title>
</cp:coreProperties>
</file>