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Confirmation</w:t>
      </w:r>
    </w:p>
    <w:p>
      <w:pPr>
        <w:pStyle w:val="Normal"/>
        <w:jc w:val="center"/>
        <w:rPr>
          <w:b/>
          <w:bCs/>
        </w:rPr>
      </w:pPr>
      <w:r>
        <w:rPr>
          <w:b/>
          <w:bCs/>
        </w:rPr>
        <w:t>(SWAP)</w:t>
      </w:r>
    </w:p>
    <w:p>
      <w:pPr>
        <w:pStyle w:val="Normal"/>
        <w:rPr>
          <w:b/>
          <w:bCs/>
        </w:rPr>
      </w:pPr>
      <w:r>
        <w:rPr>
          <w:b/>
          <w:bCs/>
        </w:rPr>
      </w:r>
    </w:p>
    <w:p>
      <w:pPr>
        <w:pStyle w:val="Normal"/>
        <w:rPr/>
      </w:pPr>
      <w:r>
        <w:rPr/>
      </w:r>
    </w:p>
    <w:p>
      <w:pPr>
        <w:pStyle w:val="Normal"/>
        <w:rPr/>
      </w:pPr>
      <w:r>
        <w:rPr/>
      </w:r>
    </w:p>
    <w:p>
      <w:pPr>
        <w:pStyle w:val="Normal"/>
        <w:rPr/>
      </w:pPr>
      <w:r>
        <w:rPr/>
        <w:t>Date:</w:t>
        <w:tab/>
        <w:tab/>
        <w:t>September 26, 2001</w:t>
      </w:r>
    </w:p>
    <w:p>
      <w:pPr>
        <w:pStyle w:val="Normal"/>
        <w:rPr/>
      </w:pPr>
      <w:r>
        <w:rPr/>
        <w:t>To:</w:t>
        <w:tab/>
        <w:tab/>
        <w:t>Morgan Stanley Capital Group, Inc.</w:t>
      </w:r>
    </w:p>
    <w:p>
      <w:pPr>
        <w:pStyle w:val="Normal"/>
        <w:rPr/>
      </w:pPr>
      <w:r>
        <w:rPr/>
        <w:t>Attention:</w:t>
        <w:tab/>
        <w:t>Documentation Department</w:t>
      </w:r>
    </w:p>
    <w:p>
      <w:pPr>
        <w:pStyle w:val="Normal"/>
        <w:rPr/>
      </w:pPr>
      <w:r>
        <w:rPr/>
        <w:t>Fax No.:</w:t>
        <w:tab/>
        <w:t>212-761-3084</w:t>
      </w:r>
    </w:p>
    <w:p>
      <w:pPr>
        <w:pStyle w:val="Normal"/>
        <w:rPr/>
      </w:pPr>
      <w:r>
        <w:rPr/>
        <w:t>From:</w:t>
        <w:tab/>
        <w:tab/>
        <w:t>Enron North America Corp.</w:t>
      </w:r>
    </w:p>
    <w:p>
      <w:pPr>
        <w:pStyle w:val="Normal"/>
        <w:rPr/>
      </w:pPr>
      <w:r>
        <w:rPr/>
        <w:t>Re:</w:t>
        <w:tab/>
        <w:tab/>
        <w:t xml:space="preserve">Commodity Swap </w:t>
      </w:r>
    </w:p>
    <w:p>
      <w:pPr>
        <w:pStyle w:val="Normal"/>
        <w:rPr/>
      </w:pPr>
      <w:r>
        <w:rPr/>
      </w:r>
    </w:p>
    <w:p>
      <w:pPr>
        <w:pStyle w:val="Normal"/>
        <w:rPr/>
      </w:pPr>
      <w:r>
        <w:rPr/>
        <w:t>We are pleased to confirm the details of the following Transaction.</w:t>
      </w:r>
    </w:p>
    <w:p>
      <w:pPr>
        <w:pStyle w:val="Normal"/>
        <w:rPr/>
      </w:pPr>
      <w:r>
        <w:rPr/>
      </w:r>
    </w:p>
    <w:p>
      <w:pPr>
        <w:pStyle w:val="BodyText"/>
        <w:rPr/>
      </w:pPr>
      <w:r>
        <w:rPr/>
        <w:t>The purpose of this letter agreement (this "Confirmation") is to confirm the terms and conditions of the transaction entered into between us on the Trade Date specified below (the "Transaction" or "Swap Transaction").  This letter agreement constitutes a "Confirmation" as referred to in the Agreement specified below.  This Confirmation supersedes any previous Confirmation or other communication with respect to the Transaction and evidences a complete and binding agreement between us as to the terms of the Transaction.</w:t>
      </w:r>
    </w:p>
    <w:p>
      <w:pPr>
        <w:pStyle w:val="Normal"/>
        <w:spacing w:before="0" w:after="240"/>
        <w:jc w:val="both"/>
        <w:rPr/>
      </w:pPr>
      <w:r>
        <w:rPr/>
        <w:t>This Confirmation supplements, forms part of, and is subject to, the Master Energy Price Swap Agreement dated as of June 16, 1992, as amended and supplemented from time to time (the "Agreement"), between you and us.  All provisions contained in the Agreement govern this Confirmation except as expressly modified below.</w:t>
      </w:r>
    </w:p>
    <w:p>
      <w:pPr>
        <w:pStyle w:val="BodyTextIndent"/>
        <w:spacing w:before="0" w:after="0"/>
        <w:ind w:hanging="0" w:start="0" w:end="0"/>
        <w:rPr/>
      </w:pPr>
      <w:r>
        <w:rPr/>
        <w:t xml:space="preserve">Each capitalized term used in this Confirmation and not otherwise defined herein or in the Agreement shall have the meaning given to it by the 1993 ISDA Commodity Derivatives Definitions, as supplemented by the 2000 Supplement to the 1993 ISDA Commodity Derivatives Definitions, and the 2000 ISDA Definitions, all as published by the International Swaps and Derivatives Association, Inc. </w:t>
      </w:r>
    </w:p>
    <w:p>
      <w:pPr>
        <w:pStyle w:val="BodyTextIndent"/>
        <w:spacing w:before="0" w:after="0"/>
        <w:ind w:hanging="0" w:start="0" w:end="0"/>
        <w:rPr/>
      </w:pPr>
      <w:r>
        <w:rPr/>
      </w:r>
    </w:p>
    <w:p>
      <w:pPr>
        <w:pStyle w:val="Normal"/>
        <w:spacing w:before="0" w:after="240"/>
        <w:jc w:val="both"/>
        <w:rPr/>
      </w:pPr>
      <w:r>
        <w:rPr/>
        <w:t>Each party represents to the other that it is entering into this Transaction as principal (and not as agent or in any other capacity) with the full understanding of the terms, conditions and risks thereof and that it is capable of and willing to assume those risks.  Each party further represents as follows:  (i) it is not relying upon any representations of the other party other than those expressly set forth herein, in the Agreement, or any written guarantee of the obligations hereof; (ii) it has made its investment and trading decisions (including regarding the suitability hereof) based upon its own judgment and any advice from such advisors as it has deemed necessary, and not in reliance upon any view expressed by the other party; and (iii) the other party is not acting as a fiduciary or an advisor for it, and the other party has not given to it any assurance or guarantee as to the expected performance or result of the Transaction or the Agreement.</w:t>
      </w:r>
      <w:r>
        <w:br w:type="page"/>
      </w:r>
    </w:p>
    <w:p>
      <w:pPr>
        <w:pStyle w:val="Normal"/>
        <w:spacing w:before="0" w:after="240"/>
        <w:jc w:val="both"/>
        <w:rPr/>
      </w:pPr>
      <w:r>
        <w:rPr/>
        <w:t>The terms of the particular Transaction to which this Confirmation relates are as follows:</w:t>
      </w:r>
    </w:p>
    <w:p>
      <w:pPr>
        <w:pStyle w:val="Normal"/>
        <w:jc w:val="both"/>
        <w:rPr/>
      </w:pPr>
      <w:r>
        <w:rPr/>
        <w:t>Total Notional Quantity:</w:t>
        <w:tab/>
        <w:tab/>
        <w:t>__________ Barrels</w:t>
      </w:r>
    </w:p>
    <w:p>
      <w:pPr>
        <w:pStyle w:val="Normal"/>
        <w:jc w:val="both"/>
        <w:rPr/>
      </w:pPr>
      <w:r>
        <w:rPr/>
      </w:r>
    </w:p>
    <w:p>
      <w:pPr>
        <w:pStyle w:val="Normal"/>
        <w:jc w:val="both"/>
        <w:rPr/>
      </w:pPr>
      <w:r>
        <w:rPr/>
        <w:t>Notional Quantity per</w:t>
      </w:r>
    </w:p>
    <w:p>
      <w:pPr>
        <w:pStyle w:val="BodyTextIndent"/>
        <w:spacing w:before="0" w:after="0"/>
        <w:rPr/>
      </w:pPr>
      <w:r>
        <w:rPr/>
        <w:t>Determination Period:</w:t>
        <w:tab/>
        <w:t>For each Determination Period, the amount set forth in Exhibit I attached hereto</w:t>
      </w:r>
    </w:p>
    <w:p>
      <w:pPr>
        <w:pStyle w:val="BodyTextIndent"/>
        <w:spacing w:before="0" w:after="0"/>
        <w:rPr/>
      </w:pPr>
      <w:r>
        <w:rPr/>
      </w:r>
    </w:p>
    <w:p>
      <w:pPr>
        <w:pStyle w:val="BodyTextIndent"/>
        <w:spacing w:before="0" w:after="0"/>
        <w:rPr/>
      </w:pPr>
      <w:r>
        <w:rPr/>
        <w:t>Commodity:</w:t>
        <w:tab/>
        <w:t>West Texas Intermediate Light Sweet Crude Oil</w:t>
      </w:r>
    </w:p>
    <w:p>
      <w:pPr>
        <w:pStyle w:val="BodyTextIndent"/>
        <w:spacing w:before="0" w:after="0"/>
        <w:rPr/>
      </w:pPr>
      <w:r>
        <w:rPr/>
      </w:r>
    </w:p>
    <w:p>
      <w:pPr>
        <w:pStyle w:val="BodyTextIndent"/>
        <w:spacing w:before="0" w:after="0"/>
        <w:rPr/>
      </w:pPr>
      <w:r>
        <w:rPr/>
        <w:t>Trade Date:</w:t>
        <w:tab/>
        <w:t>September 26, 2001</w:t>
      </w:r>
    </w:p>
    <w:p>
      <w:pPr>
        <w:pStyle w:val="BodyTextIndent"/>
        <w:spacing w:before="0" w:after="0"/>
        <w:rPr/>
      </w:pPr>
      <w:r>
        <w:rPr/>
      </w:r>
    </w:p>
    <w:p>
      <w:pPr>
        <w:pStyle w:val="BodyTextIndent"/>
        <w:spacing w:before="0" w:after="0"/>
        <w:rPr/>
      </w:pPr>
      <w:r>
        <w:rPr/>
        <w:t>Effective Date:</w:t>
        <w:tab/>
        <w:t>September 26, 2001</w:t>
      </w:r>
    </w:p>
    <w:p>
      <w:pPr>
        <w:pStyle w:val="BodyTextIndent"/>
        <w:spacing w:before="0" w:after="0"/>
        <w:rPr/>
      </w:pPr>
      <w:r>
        <w:rPr/>
      </w:r>
    </w:p>
    <w:p>
      <w:pPr>
        <w:pStyle w:val="BodyTextIndent"/>
        <w:spacing w:before="0" w:after="0"/>
        <w:rPr/>
      </w:pPr>
      <w:r>
        <w:rPr/>
        <w:t>Termination Date:</w:t>
        <w:tab/>
        <w:t>___________________, subject to adjustment in accordance with the Modified Following Business Day Convention</w:t>
      </w:r>
    </w:p>
    <w:p>
      <w:pPr>
        <w:pStyle w:val="BodyTextIndent"/>
        <w:spacing w:before="0" w:after="0"/>
        <w:rPr/>
      </w:pPr>
      <w:r>
        <w:rPr/>
      </w:r>
    </w:p>
    <w:p>
      <w:pPr>
        <w:pStyle w:val="BodyTextIndent"/>
        <w:spacing w:before="0" w:after="0"/>
        <w:rPr/>
      </w:pPr>
      <w:r>
        <w:rPr/>
        <w:t>Determination Period(s):</w:t>
        <w:tab/>
        <w:t>See Exhibit I attached hereto</w:t>
      </w:r>
    </w:p>
    <w:p>
      <w:pPr>
        <w:pStyle w:val="BodyTextIndent"/>
        <w:spacing w:before="0" w:after="0"/>
        <w:rPr/>
      </w:pPr>
      <w:r>
        <w:rPr/>
      </w:r>
    </w:p>
    <w:p>
      <w:pPr>
        <w:pStyle w:val="BodyTextIndent"/>
        <w:spacing w:before="0" w:after="0"/>
        <w:rPr/>
      </w:pPr>
      <w:r>
        <w:rPr/>
      </w:r>
    </w:p>
    <w:p>
      <w:pPr>
        <w:pStyle w:val="BodyTextIndent"/>
        <w:spacing w:before="0" w:after="0"/>
        <w:rPr/>
      </w:pPr>
      <w:r>
        <w:rPr>
          <w:b/>
          <w:bCs/>
          <w:u w:val="single"/>
        </w:rPr>
        <w:t>Fixed Amount Details</w:t>
      </w:r>
      <w:r>
        <w:rPr/>
        <w:t>:</w:t>
      </w:r>
    </w:p>
    <w:p>
      <w:pPr>
        <w:pStyle w:val="BodyTextIndent"/>
        <w:spacing w:before="0" w:after="0"/>
        <w:rPr/>
      </w:pPr>
      <w:r>
        <w:rPr/>
      </w:r>
    </w:p>
    <w:p>
      <w:pPr>
        <w:pStyle w:val="BodyTextIndent"/>
        <w:spacing w:before="0" w:after="0"/>
        <w:rPr/>
      </w:pPr>
      <w:r>
        <w:rPr/>
        <w:t>Fixed Price Payor:</w:t>
        <w:tab/>
        <w:t>Enron North America Corp.</w:t>
      </w:r>
    </w:p>
    <w:p>
      <w:pPr>
        <w:pStyle w:val="BodyTextIndent"/>
        <w:spacing w:before="0" w:after="0"/>
        <w:rPr/>
      </w:pPr>
      <w:r>
        <w:rPr/>
      </w:r>
    </w:p>
    <w:p>
      <w:pPr>
        <w:pStyle w:val="BodyTextIndent"/>
        <w:spacing w:before="0" w:after="0"/>
        <w:rPr/>
      </w:pPr>
      <w:r>
        <w:rPr/>
        <w:t>Fixed Amount:</w:t>
        <w:tab/>
        <w:t>USD __________ per Barrel</w:t>
      </w:r>
    </w:p>
    <w:p>
      <w:pPr>
        <w:pStyle w:val="BodyTextIndent"/>
        <w:spacing w:before="0" w:after="0"/>
        <w:rPr/>
      </w:pPr>
      <w:r>
        <w:rPr/>
      </w:r>
    </w:p>
    <w:p>
      <w:pPr>
        <w:pStyle w:val="BodyTextIndent"/>
        <w:spacing w:before="0" w:after="0"/>
        <w:rPr/>
      </w:pPr>
      <w:r>
        <w:rPr/>
        <w:t>Fixed Amount Payment Dates:</w:t>
        <w:tab/>
        <w:t>The Payment Dates set forth on Exhibit I attached hereto shall govern notwithstanding the provisions of the Agreement, subject to adjustment in accordance with the Modified Following Business Day Convention</w:t>
      </w:r>
    </w:p>
    <w:p>
      <w:pPr>
        <w:pStyle w:val="BodyTextIndent"/>
        <w:spacing w:before="0" w:after="0"/>
        <w:rPr/>
      </w:pPr>
      <w:r>
        <w:rPr/>
      </w:r>
    </w:p>
    <w:p>
      <w:pPr>
        <w:pStyle w:val="BodyTextIndent"/>
        <w:spacing w:before="0" w:after="0"/>
        <w:rPr/>
      </w:pPr>
      <w:r>
        <w:rPr/>
      </w:r>
    </w:p>
    <w:p>
      <w:pPr>
        <w:pStyle w:val="BodyTextIndent"/>
        <w:spacing w:before="0" w:after="0"/>
        <w:rPr/>
      </w:pPr>
      <w:r>
        <w:rPr>
          <w:b/>
          <w:bCs/>
          <w:u w:val="single"/>
        </w:rPr>
        <w:t>Floating Amount Details</w:t>
      </w:r>
      <w:r>
        <w:rPr/>
        <w:t>:</w:t>
      </w:r>
    </w:p>
    <w:p>
      <w:pPr>
        <w:pStyle w:val="BodyTextIndent"/>
        <w:spacing w:before="0" w:after="0"/>
        <w:rPr/>
      </w:pPr>
      <w:r>
        <w:rPr/>
      </w:r>
    </w:p>
    <w:p>
      <w:pPr>
        <w:pStyle w:val="BodyTextIndent"/>
        <w:spacing w:before="0" w:after="0"/>
        <w:rPr/>
      </w:pPr>
      <w:r>
        <w:rPr/>
        <w:t>Floating Price Payor:</w:t>
        <w:tab/>
        <w:t>Morgan Stanley Capital Group Inc.</w:t>
      </w:r>
    </w:p>
    <w:p>
      <w:pPr>
        <w:pStyle w:val="BodyTextIndent"/>
        <w:spacing w:before="0" w:after="0"/>
        <w:rPr/>
      </w:pPr>
      <w:r>
        <w:rPr/>
      </w:r>
    </w:p>
    <w:p>
      <w:pPr>
        <w:pStyle w:val="BodyTextIndent"/>
        <w:spacing w:before="0" w:after="0"/>
        <w:rPr/>
      </w:pPr>
      <w:r>
        <w:rPr/>
        <w:t>Floating Price</w:t>
      </w:r>
    </w:p>
    <w:p>
      <w:pPr>
        <w:pStyle w:val="BodyTextIndent"/>
        <w:spacing w:before="0" w:after="0"/>
        <w:rPr/>
      </w:pPr>
      <w:r>
        <w:rPr/>
        <w:t>and Pricing Date:</w:t>
        <w:tab/>
        <w:t>The arithmetic average of the daily settlement prices for the prompt month of the NYMEX Light Sweet Crude Oil Futures Contract for each NYMEX Trading Day in respect of the applicable Determination Period</w:t>
      </w:r>
    </w:p>
    <w:p>
      <w:pPr>
        <w:pStyle w:val="BodyTextIndent"/>
        <w:spacing w:before="0" w:after="0"/>
        <w:rPr/>
      </w:pPr>
      <w:r>
        <w:rPr/>
      </w:r>
    </w:p>
    <w:p>
      <w:pPr>
        <w:pStyle w:val="BodyTextIndent"/>
        <w:spacing w:before="0" w:after="0"/>
        <w:rPr/>
      </w:pPr>
      <w:r>
        <w:rPr/>
        <w:t>Floating Price Payment Dates:</w:t>
        <w:tab/>
        <w:t>The Payment Dates set forth on Exhibit I attached hereto shall govern notwithstanding the provisions of the Agreement, subject to adjustment in accordance with the Modified Following Business Day Convention</w:t>
      </w:r>
    </w:p>
    <w:p>
      <w:pPr>
        <w:pStyle w:val="BodyTextIndent"/>
        <w:spacing w:before="0" w:after="0"/>
        <w:rPr/>
      </w:pPr>
      <w:r>
        <w:rPr/>
      </w:r>
    </w:p>
    <w:p>
      <w:pPr>
        <w:pStyle w:val="BodyTextIndent"/>
        <w:spacing w:before="0" w:after="0"/>
        <w:rPr/>
      </w:pPr>
      <w:r>
        <w:rPr/>
        <w:t>Rounding:</w:t>
        <w:tab/>
        <w:t>Four (4) decimal places</w:t>
      </w:r>
    </w:p>
    <w:p>
      <w:pPr>
        <w:pStyle w:val="BodyTextIndent"/>
        <w:spacing w:before="0" w:after="0"/>
        <w:rPr/>
      </w:pPr>
      <w:r>
        <w:rPr/>
      </w:r>
    </w:p>
    <w:p>
      <w:pPr>
        <w:pStyle w:val="BodyTextIndent"/>
        <w:spacing w:before="0" w:after="0"/>
        <w:rPr/>
      </w:pPr>
      <w:r>
        <w:rPr/>
      </w:r>
    </w:p>
    <w:p>
      <w:pPr>
        <w:pStyle w:val="BodyTextIndent"/>
        <w:spacing w:before="0" w:after="0"/>
        <w:rPr/>
      </w:pPr>
      <w:r>
        <w:rPr>
          <w:b/>
          <w:bCs/>
          <w:u w:val="single"/>
        </w:rPr>
        <w:t>Calculation Agent</w:t>
      </w:r>
      <w:r>
        <w:rPr/>
        <w:t>:</w:t>
        <w:tab/>
        <w:t>Enron North America Corp.</w:t>
      </w:r>
    </w:p>
    <w:p>
      <w:pPr>
        <w:pStyle w:val="BodyTextIndent"/>
        <w:spacing w:before="0" w:after="0"/>
        <w:rPr/>
      </w:pPr>
      <w:r>
        <w:rPr/>
      </w:r>
    </w:p>
    <w:p>
      <w:pPr>
        <w:pStyle w:val="BodyTextIndent"/>
        <w:spacing w:before="0" w:after="0"/>
        <w:rPr/>
      </w:pPr>
      <w:r>
        <w:rPr/>
      </w:r>
    </w:p>
    <w:p>
      <w:pPr>
        <w:pStyle w:val="BodyTextIndent"/>
        <w:spacing w:before="0" w:after="0"/>
        <w:rPr/>
      </w:pPr>
      <w:r>
        <w:rPr>
          <w:b/>
          <w:bCs/>
          <w:u w:val="single"/>
        </w:rPr>
        <w:t>Account Details</w:t>
      </w:r>
      <w:r>
        <w:rPr/>
        <w:t>:</w:t>
      </w:r>
    </w:p>
    <w:p>
      <w:pPr>
        <w:pStyle w:val="BodyTextIndent"/>
        <w:spacing w:before="0" w:after="0"/>
        <w:rPr/>
      </w:pPr>
      <w:r>
        <w:rPr/>
      </w:r>
    </w:p>
    <w:p>
      <w:pPr>
        <w:pStyle w:val="BodyTextIndent"/>
        <w:spacing w:before="0" w:after="0"/>
        <w:ind w:hanging="2880" w:start="2880" w:end="0"/>
        <w:rPr/>
      </w:pPr>
      <w:r>
        <w:rPr/>
        <w:t>Payments to Morgan Stanley Capital Group Inc.:</w:t>
        <w:tab/>
        <w:t>Northern Trust International-New York</w:t>
      </w:r>
    </w:p>
    <w:p>
      <w:pPr>
        <w:pStyle w:val="BodyTextIndent"/>
        <w:spacing w:before="0" w:after="0"/>
        <w:ind w:hanging="0" w:start="5040" w:end="0"/>
        <w:rPr/>
      </w:pPr>
      <w:r>
        <w:rPr/>
        <w:t>A/C Morgan Stanley Capital Group Inc.</w:t>
      </w:r>
    </w:p>
    <w:p>
      <w:pPr>
        <w:pStyle w:val="BodyTextIndent"/>
        <w:spacing w:before="0" w:after="0"/>
        <w:ind w:hanging="0" w:start="5040" w:end="0"/>
        <w:rPr/>
      </w:pPr>
      <w:r>
        <w:rPr/>
        <w:t>Account No 102897-20010 ABA No. 026001122</w:t>
      </w:r>
    </w:p>
    <w:p>
      <w:pPr>
        <w:pStyle w:val="BodyTextIndent"/>
        <w:spacing w:before="0" w:after="0"/>
        <w:ind w:hanging="0" w:start="5040" w:end="0"/>
        <w:rPr/>
      </w:pPr>
      <w:r>
        <w:rPr/>
      </w:r>
    </w:p>
    <w:p>
      <w:pPr>
        <w:pStyle w:val="BodyTextIndent"/>
        <w:spacing w:before="0" w:after="0"/>
        <w:ind w:hanging="2880" w:start="2880" w:end="0"/>
        <w:rPr/>
      </w:pPr>
      <w:r>
        <w:rPr/>
        <w:t>Payments to Enron North America Corp.:</w:t>
        <w:tab/>
        <w:tab/>
        <w:t>Bank of America</w:t>
      </w:r>
    </w:p>
    <w:p>
      <w:pPr>
        <w:pStyle w:val="BodyTextIndent"/>
        <w:spacing w:before="0" w:after="0"/>
        <w:ind w:hanging="0" w:start="5040" w:end="0"/>
        <w:rPr/>
      </w:pPr>
      <w:r>
        <w:rPr/>
        <w:t>ABA 111-000-012</w:t>
      </w:r>
    </w:p>
    <w:p>
      <w:pPr>
        <w:pStyle w:val="BodyTextIndent"/>
        <w:spacing w:before="0" w:after="0"/>
        <w:ind w:hanging="0" w:start="5040" w:end="0"/>
        <w:rPr/>
      </w:pPr>
      <w:r>
        <w:rPr/>
        <w:t>Account Name: Enron North America Corp. – Global Products</w:t>
      </w:r>
    </w:p>
    <w:p>
      <w:pPr>
        <w:pStyle w:val="BodyTextIndent"/>
        <w:spacing w:before="0" w:after="0"/>
        <w:ind w:hanging="0" w:start="5040" w:end="0"/>
        <w:rPr/>
      </w:pPr>
      <w:r>
        <w:rPr/>
        <w:t>A/C 375-144-3337</w:t>
      </w:r>
    </w:p>
    <w:p>
      <w:pPr>
        <w:pStyle w:val="BodyTextIndent"/>
        <w:spacing w:before="0" w:after="0"/>
        <w:ind w:hanging="0" w:start="5040" w:end="0"/>
        <w:rPr/>
      </w:pPr>
      <w:r>
        <w:rPr/>
      </w:r>
    </w:p>
    <w:p>
      <w:pPr>
        <w:pStyle w:val="BodyTextIndent"/>
        <w:spacing w:before="0" w:after="0"/>
        <w:ind w:hanging="0" w:start="5040" w:end="0"/>
        <w:rPr/>
      </w:pPr>
      <w:r>
        <w:rPr/>
      </w:r>
    </w:p>
    <w:p>
      <w:pPr>
        <w:pStyle w:val="BodyTextIndent"/>
        <w:ind w:hanging="0" w:start="0" w:end="0"/>
        <w:rPr/>
      </w:pPr>
      <w:r>
        <w:rPr>
          <w:b/>
          <w:bCs/>
          <w:u w:val="single"/>
        </w:rPr>
        <w:t>Other Terms and Provisions</w:t>
      </w:r>
      <w:r>
        <w:rPr>
          <w:u w:val="single"/>
        </w:rPr>
        <w:t>:</w:t>
      </w:r>
    </w:p>
    <w:p>
      <w:pPr>
        <w:pStyle w:val="BodyTextIndent"/>
        <w:ind w:hanging="0" w:start="0" w:end="0"/>
        <w:rPr/>
      </w:pPr>
      <w:r>
        <w:rPr/>
        <w:t>Trading Day, as defined in the Agreement, shall be amended to add the words "or, but for the occurrence of a Market Disruption Event, would have been determinable."</w:t>
      </w:r>
    </w:p>
    <w:p>
      <w:pPr>
        <w:pStyle w:val="BodyTextIndent"/>
        <w:ind w:hanging="0" w:start="0" w:end="0"/>
        <w:rPr/>
      </w:pPr>
      <w:r>
        <w:rPr/>
        <w:t>This Confirmation may be executed in one or more counterparts, either in original or facsimile form, each of which shall constitute one and the same agreement.  When executed by the parties through facsimile transmission, this Confirmation shall constitute the original agreement between the parties and the parties hereby adopt the signatures printed by the receiving facsimile machine as the original signatures of the parties.</w:t>
      </w:r>
    </w:p>
    <w:p>
      <w:pPr>
        <w:pStyle w:val="BodyTextIndent"/>
        <w:ind w:hanging="0" w:start="0" w:end="0"/>
        <w:rPr/>
      </w:pPr>
      <w:r>
        <w:rPr/>
        <w:t xml:space="preserve">Please confirm that the foregoing correctly sets forth the terms of our agreement by executing a copy of this Confirmation and returning it to us by facsimile to </w:t>
      </w:r>
      <w:r>
        <w:rPr>
          <w:u w:val="single"/>
        </w:rPr>
        <w:t>713-646-2495</w:t>
      </w:r>
      <w:r>
        <w:rPr/>
        <w:t xml:space="preserve"> and to the attention of Mary Cook at </w:t>
      </w:r>
      <w:r>
        <w:rPr>
          <w:u w:val="single"/>
        </w:rPr>
        <w:t>713-646-3393</w:t>
      </w:r>
      <w:r>
        <w:rPr/>
        <w:t>.</w:t>
      </w:r>
    </w:p>
    <w:p>
      <w:pPr>
        <w:pStyle w:val="BodyTextIndent"/>
        <w:spacing w:before="0" w:after="0"/>
        <w:ind w:hanging="0" w:start="0" w:end="0"/>
        <w:rPr/>
      </w:pPr>
      <w:r>
        <w:rPr/>
        <w:t>Confirmed as of the Trade Date.</w:t>
      </w:r>
    </w:p>
    <w:p>
      <w:pPr>
        <w:pStyle w:val="BodyTextIndent"/>
        <w:spacing w:before="0" w:after="0"/>
        <w:ind w:hanging="0" w:start="0" w:end="0"/>
        <w:rPr/>
      </w:pPr>
      <w:r>
        <w:rPr/>
      </w:r>
    </w:p>
    <w:p>
      <w:pPr>
        <w:pStyle w:val="BodyTextIndent"/>
        <w:spacing w:before="0" w:after="0"/>
        <w:ind w:hanging="0" w:start="0" w:end="0"/>
        <w:rPr/>
      </w:pPr>
      <w:r>
        <w:rPr/>
        <w:t>Enron North America Corp.</w:t>
        <w:tab/>
        <w:tab/>
        <w:tab/>
        <w:tab/>
      </w:r>
    </w:p>
    <w:p>
      <w:pPr>
        <w:pStyle w:val="BodyTextIndent"/>
        <w:spacing w:before="0" w:after="0"/>
        <w:ind w:hanging="0" w:start="0" w:end="0"/>
        <w:rPr/>
      </w:pPr>
      <w:r>
        <w:rPr/>
      </w:r>
    </w:p>
    <w:p>
      <w:pPr>
        <w:pStyle w:val="BodyTextIndent"/>
        <w:spacing w:before="0" w:after="0"/>
        <w:ind w:hanging="0" w:start="0" w:end="0"/>
        <w:rPr/>
      </w:pPr>
      <w:r>
        <w:rPr/>
      </w:r>
    </w:p>
    <w:p>
      <w:pPr>
        <w:pStyle w:val="BodyTextIndent"/>
        <w:spacing w:before="0" w:after="0"/>
        <w:ind w:hanging="0" w:start="0" w:end="0"/>
        <w:rPr/>
      </w:pPr>
      <w:r>
        <w:rPr/>
      </w:r>
    </w:p>
    <w:p>
      <w:pPr>
        <w:pStyle w:val="BodyTextIndent"/>
        <w:spacing w:before="0" w:after="0"/>
        <w:ind w:hanging="0" w:start="0" w:end="0"/>
        <w:rPr/>
      </w:pPr>
      <w:r>
        <w:rPr/>
        <w:t>By:</w:t>
        <w:tab/>
        <w:t>____________________</w:t>
        <w:tab/>
        <w:tab/>
        <w:tab/>
      </w:r>
    </w:p>
    <w:p>
      <w:pPr>
        <w:pStyle w:val="BodyTextIndent"/>
        <w:spacing w:before="0" w:after="0"/>
        <w:ind w:hanging="0" w:start="0" w:end="0"/>
        <w:rPr>
          <w:u w:val="single"/>
        </w:rPr>
      </w:pPr>
      <w:r>
        <w:rPr/>
        <w:t>Name:</w:t>
        <w:tab/>
        <w:t>____________________</w:t>
        <w:tab/>
        <w:tab/>
        <w:tab/>
      </w:r>
    </w:p>
    <w:p>
      <w:pPr>
        <w:pStyle w:val="BodyTextIndent"/>
        <w:spacing w:before="0" w:after="0"/>
        <w:ind w:hanging="0" w:start="0" w:end="0"/>
        <w:rPr>
          <w:u w:val="single"/>
        </w:rPr>
      </w:pPr>
      <w:r>
        <w:rPr/>
        <w:t>Title:</w:t>
        <w:tab/>
        <w:t>____________________</w:t>
        <w:tab/>
        <w:tab/>
        <w:tab/>
      </w:r>
    </w:p>
    <w:p>
      <w:pPr>
        <w:pStyle w:val="BodyTextIndent"/>
        <w:spacing w:before="0" w:after="0"/>
        <w:ind w:hanging="0" w:start="0" w:end="0"/>
        <w:rPr>
          <w:u w:val="single"/>
        </w:rPr>
      </w:pPr>
      <w:r>
        <w:rPr>
          <w:u w:val="single"/>
        </w:rPr>
      </w:r>
      <w:r>
        <w:br w:type="page"/>
      </w:r>
    </w:p>
    <w:p>
      <w:pPr>
        <w:pStyle w:val="BodyTextIndent"/>
        <w:spacing w:before="0" w:after="0"/>
        <w:ind w:hanging="0" w:start="0" w:end="0"/>
        <w:rPr>
          <w:u w:val="single"/>
        </w:rPr>
      </w:pPr>
      <w:r>
        <w:rPr>
          <w:u w:val="single"/>
        </w:rPr>
      </w:r>
    </w:p>
    <w:p>
      <w:pPr>
        <w:pStyle w:val="BodyTextIndent"/>
        <w:spacing w:before="0" w:after="0"/>
        <w:ind w:hanging="0" w:start="0" w:end="0"/>
        <w:rPr/>
      </w:pPr>
      <w:r>
        <w:rPr/>
        <w:t>Morgan Stanley Capital Group Inc.</w:t>
      </w:r>
    </w:p>
    <w:p>
      <w:pPr>
        <w:pStyle w:val="BodyTextIndent"/>
        <w:spacing w:before="0" w:after="0"/>
        <w:ind w:hanging="0" w:start="0" w:end="0"/>
        <w:rPr/>
      </w:pPr>
      <w:r>
        <w:rPr/>
      </w:r>
    </w:p>
    <w:p>
      <w:pPr>
        <w:pStyle w:val="BodyTextIndent"/>
        <w:spacing w:before="0" w:after="0"/>
        <w:ind w:hanging="0" w:start="0" w:end="0"/>
        <w:rPr/>
      </w:pPr>
      <w:r>
        <w:rPr/>
      </w:r>
    </w:p>
    <w:p>
      <w:pPr>
        <w:pStyle w:val="BodyTextIndent"/>
        <w:spacing w:before="0" w:after="0"/>
        <w:ind w:hanging="0" w:start="0" w:end="0"/>
        <w:rPr/>
      </w:pPr>
      <w:r>
        <w:rPr/>
      </w:r>
    </w:p>
    <w:p>
      <w:pPr>
        <w:pStyle w:val="BodyTextIndent"/>
        <w:spacing w:before="0" w:after="0"/>
        <w:ind w:hanging="0" w:start="0" w:end="0"/>
        <w:rPr>
          <w:u w:val="single"/>
        </w:rPr>
      </w:pPr>
      <w:r>
        <w:rPr/>
        <w:t>By:</w:t>
        <w:tab/>
        <w:t>______________________</w:t>
        <w:tab/>
        <w:tab/>
        <w:tab/>
      </w:r>
    </w:p>
    <w:p>
      <w:pPr>
        <w:pStyle w:val="BodyTextIndent"/>
        <w:spacing w:before="0" w:after="0"/>
        <w:ind w:hanging="0" w:start="0" w:end="0"/>
        <w:rPr/>
      </w:pPr>
      <w:r>
        <w:rPr/>
        <w:t>Name:</w:t>
        <w:tab/>
        <w:t>______________________</w:t>
        <w:tab/>
        <w:tab/>
        <w:tab/>
      </w:r>
    </w:p>
    <w:p>
      <w:pPr>
        <w:pStyle w:val="BodyTextIndent"/>
        <w:spacing w:before="0" w:after="0"/>
        <w:ind w:hanging="0" w:start="0" w:end="0"/>
        <w:rPr>
          <w:u w:val="single"/>
        </w:rPr>
      </w:pPr>
      <w:r>
        <w:rPr/>
        <w:t>Title:</w:t>
        <w:tab/>
        <w:t>______________________</w:t>
      </w:r>
      <w:r>
        <w:br w:type="page"/>
      </w:r>
    </w:p>
    <w:p>
      <w:pPr>
        <w:pStyle w:val="BodyTextIndent"/>
        <w:spacing w:before="0" w:after="0"/>
        <w:ind w:hanging="0" w:start="0" w:end="0"/>
        <w:jc w:val="center"/>
        <w:rPr>
          <w:b/>
          <w:bCs/>
        </w:rPr>
      </w:pPr>
      <w:r>
        <w:rPr>
          <w:b/>
          <w:bCs/>
        </w:rPr>
        <w:t>Exhibit I</w:t>
      </w:r>
    </w:p>
    <w:p>
      <w:pPr>
        <w:pStyle w:val="BodyTextIndent"/>
        <w:spacing w:before="0" w:after="0"/>
        <w:ind w:hanging="0" w:start="0" w:end="0"/>
        <w:rPr>
          <w:b/>
          <w:bCs/>
        </w:rPr>
      </w:pPr>
      <w:r>
        <w:rPr>
          <w:b/>
          <w:bCs/>
        </w:rPr>
      </w:r>
    </w:p>
    <w:p>
      <w:pPr>
        <w:pStyle w:val="BodyTextIndent"/>
        <w:spacing w:before="0" w:after="0"/>
        <w:ind w:hanging="0" w:start="0" w:end="0"/>
        <w:rPr/>
      </w:pPr>
      <w:r>
        <w:rPr/>
      </w:r>
    </w:p>
    <w:tbl>
      <w:tblPr>
        <w:tblW w:w="4300" w:type="pct"/>
        <w:jc w:val="start"/>
        <w:tblInd w:w="0" w:type="dxa"/>
        <w:tblLayout w:type="fixed"/>
        <w:tblCellMar>
          <w:top w:w="0" w:type="dxa"/>
          <w:start w:w="108" w:type="dxa"/>
          <w:bottom w:w="0" w:type="dxa"/>
          <w:end w:w="108" w:type="dxa"/>
        </w:tblCellMar>
      </w:tblPr>
      <w:tblGrid>
        <w:gridCol w:w="3860"/>
        <w:gridCol w:w="2000"/>
        <w:gridCol w:w="2189"/>
      </w:tblGrid>
      <w:tr>
        <w:trPr/>
        <w:tc>
          <w:tcPr>
            <w:tcW w:w="3860" w:type="dxa"/>
            <w:tcBorders/>
          </w:tcPr>
          <w:p>
            <w:pPr>
              <w:pStyle w:val="BodyTextIndent"/>
              <w:snapToGrid w:val="false"/>
              <w:spacing w:before="0" w:after="0"/>
              <w:ind w:hanging="0" w:start="0" w:end="0"/>
              <w:rPr/>
            </w:pPr>
            <w:r>
              <w:rPr/>
            </w:r>
          </w:p>
          <w:p>
            <w:pPr>
              <w:pStyle w:val="BodyTextIndent"/>
              <w:spacing w:before="0" w:after="0"/>
              <w:ind w:hanging="0" w:start="0" w:end="0"/>
              <w:rPr/>
            </w:pPr>
            <w:r>
              <w:rPr/>
              <w:t xml:space="preserve">Determination </w:t>
            </w:r>
          </w:p>
          <w:p>
            <w:pPr>
              <w:pStyle w:val="BodyTextIndent"/>
              <w:spacing w:before="0" w:after="0"/>
              <w:ind w:hanging="0" w:start="0" w:end="0"/>
              <w:rPr>
                <w:u w:val="single"/>
              </w:rPr>
            </w:pPr>
            <w:r>
              <w:rPr>
                <w:u w:val="single"/>
              </w:rPr>
              <w:t>Period</w:t>
            </w:r>
          </w:p>
        </w:tc>
        <w:tc>
          <w:tcPr>
            <w:tcW w:w="2000" w:type="dxa"/>
            <w:tcBorders/>
          </w:tcPr>
          <w:p>
            <w:pPr>
              <w:pStyle w:val="BodyTextIndent"/>
              <w:spacing w:before="0" w:after="0"/>
              <w:ind w:hanging="0" w:start="0" w:end="0"/>
              <w:rPr/>
            </w:pPr>
            <w:r>
              <w:rPr/>
              <w:t>Notional Quantity</w:t>
            </w:r>
          </w:p>
          <w:p>
            <w:pPr>
              <w:pStyle w:val="BodyTextIndent"/>
              <w:spacing w:before="0" w:after="0"/>
              <w:ind w:hanging="0" w:start="0" w:end="0"/>
              <w:rPr/>
            </w:pPr>
            <w:r>
              <w:rPr/>
              <w:t>Per Determination</w:t>
            </w:r>
          </w:p>
          <w:p>
            <w:pPr>
              <w:pStyle w:val="BodyTextIndent"/>
              <w:spacing w:before="0" w:after="0"/>
              <w:ind w:hanging="0" w:start="0" w:end="0"/>
              <w:rPr>
                <w:u w:val="single"/>
              </w:rPr>
            </w:pPr>
            <w:r>
              <w:rPr>
                <w:u w:val="single"/>
              </w:rPr>
              <w:t>Period (Barrels)</w:t>
            </w:r>
          </w:p>
        </w:tc>
        <w:tc>
          <w:tcPr>
            <w:tcW w:w="2189" w:type="dxa"/>
            <w:tcBorders/>
          </w:tcPr>
          <w:p>
            <w:pPr>
              <w:pStyle w:val="BodyTextIndent"/>
              <w:snapToGrid w:val="false"/>
              <w:spacing w:before="0" w:after="0"/>
              <w:ind w:hanging="0" w:start="0" w:end="0"/>
              <w:rPr>
                <w:u w:val="single"/>
              </w:rPr>
            </w:pPr>
            <w:r>
              <w:rPr>
                <w:u w:val="single"/>
              </w:rPr>
            </w:r>
          </w:p>
          <w:p>
            <w:pPr>
              <w:pStyle w:val="BodyTextIndent"/>
              <w:spacing w:before="0" w:after="0"/>
              <w:ind w:hanging="0" w:start="0" w:end="0"/>
              <w:rPr/>
            </w:pPr>
            <w:r>
              <w:rPr/>
              <w:t>Payment</w:t>
            </w:r>
          </w:p>
          <w:p>
            <w:pPr>
              <w:pStyle w:val="BodyTextIndent"/>
              <w:spacing w:before="0" w:after="0"/>
              <w:ind w:hanging="0" w:start="0" w:end="0"/>
              <w:rPr>
                <w:u w:val="single"/>
              </w:rPr>
            </w:pPr>
            <w:r>
              <w:rPr>
                <w:u w:val="single"/>
              </w:rPr>
              <w:t>Date</w:t>
            </w:r>
          </w:p>
        </w:tc>
      </w:tr>
      <w:tr>
        <w:trPr/>
        <w:tc>
          <w:tcPr>
            <w:tcW w:w="3860" w:type="dxa"/>
            <w:tcBorders/>
          </w:tcPr>
          <w:p>
            <w:pPr>
              <w:pStyle w:val="BodyTextIndent"/>
              <w:snapToGrid w:val="false"/>
              <w:spacing w:before="0" w:after="0"/>
              <w:ind w:hanging="0" w:start="0" w:end="0"/>
              <w:rPr>
                <w:u w:val="single"/>
              </w:rPr>
            </w:pPr>
            <w:r>
              <w:rPr>
                <w:u w:val="single"/>
              </w:rPr>
            </w:r>
          </w:p>
        </w:tc>
        <w:tc>
          <w:tcPr>
            <w:tcW w:w="2000" w:type="dxa"/>
            <w:tcBorders/>
          </w:tcPr>
          <w:p>
            <w:pPr>
              <w:pStyle w:val="BodyTextIndent"/>
              <w:snapToGrid w:val="false"/>
              <w:spacing w:before="0" w:after="0"/>
              <w:ind w:hanging="0" w:start="0" w:end="0"/>
              <w:rPr/>
            </w:pPr>
            <w:r>
              <w:rPr/>
            </w:r>
          </w:p>
        </w:tc>
        <w:tc>
          <w:tcPr>
            <w:tcW w:w="2189" w:type="dxa"/>
            <w:tcBorders/>
          </w:tcPr>
          <w:p>
            <w:pPr>
              <w:pStyle w:val="BodyTextIndent"/>
              <w:snapToGrid w:val="false"/>
              <w:spacing w:before="0" w:after="0"/>
              <w:ind w:hanging="0" w:start="0" w:end="0"/>
              <w:rPr/>
            </w:pPr>
            <w:r>
              <w:rPr/>
            </w:r>
          </w:p>
        </w:tc>
      </w:tr>
    </w:tbl>
    <w:p>
      <w:pPr>
        <w:pStyle w:val="BodyTextIndent"/>
        <w:spacing w:before="0" w:after="0"/>
        <w:ind w:hanging="0" w:start="0" w:end="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1)">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/mnt/main-storage/datasets/enron-docs/doc/Morgan_Stanley_PrePay_Confirmation.doc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iCs/>
        <w:sz w:val="20"/>
      </w:rPr>
    </w:pPr>
    <w:r>
      <w:rPr>
        <w:i/>
        <w:iCs/>
        <w:sz w:val="20"/>
      </w:rPr>
    </w:r>
  </w:p>
  <w:p>
    <w:pPr>
      <w:pStyle w:val="Header"/>
      <w:jc w:val="end"/>
      <w:rPr>
        <w:i/>
        <w:i/>
        <w:iCs/>
        <w:sz w:val="20"/>
      </w:rPr>
    </w:pPr>
    <w:r>
      <w:rPr>
        <w:i/>
        <w:iCs/>
        <w:sz w:val="20"/>
      </w:rPr>
    </w:r>
  </w:p>
  <w:p>
    <w:pPr>
      <w:pStyle w:val="Header"/>
      <w:jc w:val="end"/>
      <w:rPr>
        <w:i/>
        <w:i/>
        <w:iCs/>
        <w:sz w:val="20"/>
      </w:rPr>
    </w:pPr>
    <w:r>
      <w:rPr>
        <w:i/>
        <w:iCs/>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i/>
        <w:i/>
        <w:iCs/>
        <w:sz w:val="20"/>
      </w:rPr>
    </w:pPr>
    <w:r>
      <w:rPr>
        <w:b/>
        <w:bCs/>
        <w:i/>
        <w:iCs/>
        <w:sz w:val="20"/>
      </w:rPr>
      <w:t>Enron North America Corp.</w:t>
    </w:r>
  </w:p>
  <w:p>
    <w:pPr>
      <w:pStyle w:val="Header"/>
      <w:jc w:val="end"/>
      <w:rPr>
        <w:i/>
        <w:i/>
        <w:iCs/>
        <w:sz w:val="20"/>
      </w:rPr>
    </w:pPr>
    <w:r>
      <w:rPr>
        <w:i/>
        <w:iCs/>
        <w:sz w:val="20"/>
      </w:rPr>
      <w:t xml:space="preserve">P.O. Box 4428             </w:t>
    </w:r>
  </w:p>
  <w:p>
    <w:pPr>
      <w:pStyle w:val="Header"/>
      <w:jc w:val="end"/>
      <w:rPr>
        <w:i/>
        <w:i/>
        <w:iCs/>
        <w:sz w:val="20"/>
      </w:rPr>
    </w:pPr>
    <w:r>
      <w:rPr>
        <w:i/>
        <w:iCs/>
        <w:sz w:val="20"/>
      </w:rPr>
      <w:t>Houston, Texas   77210-4428</w:t>
    </w:r>
  </w:p>
  <w:p>
    <w:pPr>
      <w:pStyle w:val="Header"/>
      <w:jc w:val="end"/>
      <w:rPr>
        <w:i/>
        <w:i/>
        <w:iCs/>
        <w:sz w:val="20"/>
      </w:rPr>
    </w:pPr>
    <w:r>
      <w:rPr>
        <w:i/>
        <w:iCs/>
        <w:sz w:val="20"/>
      </w:rPr>
    </w:r>
  </w:p>
  <w:p>
    <w:pPr>
      <w:pStyle w:val="Header"/>
      <w:jc w:val="end"/>
      <w:rPr>
        <w:i/>
        <w:i/>
        <w:iCs/>
        <w:sz w:val="20"/>
      </w:rPr>
    </w:pPr>
    <w:r>
      <w:rPr>
        <w:i/>
        <w:iCs/>
        <w:sz w:val="20"/>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240"/>
      <w:ind w:hanging="3600" w:start="360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yle14">
    <w:name w:val="Style1"/>
    <w:basedOn w:val="Normal"/>
    <w:qFormat/>
    <w:pPr/>
    <w:rPr>
      <w:rFonts w:ascii="Univers (W1)" w:hAnsi="Univers (W1)" w:cs="Univers (W1)"/>
      <w:sz w:val="22"/>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2001-09-24T20:05:00Z</dcterms:created>
  <dc:creator>Esmeralda Gonzalez</dc:creator>
  <dc:description/>
  <dc:language>en-CA</dc:language>
  <cp:lastModifiedBy>mcook</cp:lastModifiedBy>
  <cp:lastPrinted>2001-09-25T10:55:00Z</cp:lastPrinted>
  <dcterms:modified xsi:type="dcterms:W3CDTF">2001-09-25T13:53:00Z</dcterms:modified>
  <cp:revision>26</cp:revision>
  <dc:subject/>
  <dc:title>Confirmation</dc:title>
</cp:coreProperties>
</file>