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t>[Discuss – Best way to integrate into EEI Master – Add choice on Cover Sheet or have parties sign]</w:t>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sz w:val="22"/>
        </w:rPr>
      </w:pPr>
      <w:r>
        <w:rPr>
          <w:b/>
          <w:sz w:val="22"/>
          <w:u w:val="single"/>
        </w:rPr>
        <w:t>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(the “Collateral Annex”) supplements, forms a part of, and is subject to, the EEI Master Power Purchase and Sale Agreement, dated ____________, including the Cover Sheet and any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deliver cash, securities and other property,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selected in the Cover Sheet that Sections 8.1(b), 8.1(d), 8.2(b) or 8.2(d) are applicable, then the definition of Performance Assurance as used in this Collateral Annex shall apply and Sections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u w:val="single"/>
        </w:rPr>
        <w:t>“</w:t>
      </w:r>
      <w:r>
        <w:rPr>
          <w:sz w:val="24"/>
          <w:u w:val="single"/>
        </w:rPr>
        <w:t>Calculation Date</w:t>
      </w:r>
      <w:r>
        <w:rPr>
          <w:sz w:val="24"/>
        </w:rPr>
        <w:t>" means any Business Day on which a Party chooses or is requested by the other Party to make the determinations referred to in Sections 3, 4, 5 or 8 of this Collateral Annex.</w:t>
      </w:r>
    </w:p>
    <w:p>
      <w:pPr>
        <w:pStyle w:val="Normal"/>
        <w:spacing w:before="240" w:after="0"/>
        <w:ind w:firstLine="720" w:end="0"/>
        <w:jc w:val="both"/>
        <w:rPr/>
      </w:pPr>
      <w:r>
        <w:rPr>
          <w:sz w:val="24"/>
        </w:rPr>
        <w:t>“</w:t>
      </w:r>
      <w:r>
        <w:rPr>
          <w:sz w:val="24"/>
          <w:u w:val="single"/>
        </w:rPr>
        <w:t>Cash</w:t>
      </w:r>
      <w:r>
        <w:rPr>
          <w:sz w:val="24"/>
        </w:rPr>
        <w:t>” means U.S. dollars.</w:t>
      </w:r>
    </w:p>
    <w:p>
      <w:pPr>
        <w:pStyle w:val="Normal"/>
        <w:spacing w:before="240" w:after="0"/>
        <w:ind w:firstLine="720" w:end="0"/>
        <w:jc w:val="both"/>
        <w:rPr/>
      </w:pPr>
      <w:r>
        <w:rPr>
          <w:sz w:val="24"/>
        </w:rPr>
        <w:t>"</w:t>
      </w:r>
      <w:r>
        <w:rPr>
          <w:sz w:val="24"/>
          <w:u w:val="single"/>
        </w:rPr>
        <w:t>Collateral Account</w:t>
      </w:r>
      <w:r>
        <w:rPr>
          <w:sz w:val="24"/>
        </w:rPr>
        <w:t>" shall have the meaning attributed to it in Section 6(a)(iii).</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Section 3(b).</w:t>
      </w:r>
    </w:p>
    <w:p>
      <w:pPr>
        <w:pStyle w:val="Normal"/>
        <w:spacing w:before="240" w:after="0"/>
        <w:ind w:firstLine="720" w:end="0"/>
        <w:jc w:val="both"/>
        <w:rPr/>
      </w:pPr>
      <w:r>
        <w:rPr>
          <w:sz w:val="24"/>
        </w:rPr>
        <w:t>"</w:t>
      </w:r>
      <w:r>
        <w:rPr>
          <w:sz w:val="24"/>
          <w:u w:val="single"/>
        </w:rPr>
        <w:t>Collateral Threshold</w:t>
      </w:r>
      <w:r>
        <w:rPr>
          <w:sz w:val="24"/>
        </w:rPr>
        <w:t xml:space="preserve">" means with respect to Party A, $__________ </w:t>
      </w:r>
      <w:r>
        <w:rPr>
          <w:color w:val="000000"/>
          <w:sz w:val="24"/>
        </w:rPr>
        <w:t>and with respect to Party B $_________;</w:t>
      </w:r>
      <w:r>
        <w:rPr>
          <w:sz w:val="24"/>
          <w:u w:val="single"/>
        </w:rPr>
        <w:t xml:space="preserve"> provided, however</w:t>
      </w:r>
      <w:r>
        <w:rPr>
          <w:sz w:val="24"/>
        </w:rPr>
        <w:t>, that the Collateral Threshold for a Party shall be zero upon the occurrence and during the continuance of an Event of Default or a Potential Event of Default with respect to such Party.</w:t>
      </w:r>
    </w:p>
    <w:p>
      <w:pPr>
        <w:pStyle w:val="Normal"/>
        <w:jc w:val="both"/>
        <w:rPr>
          <w:sz w:val="24"/>
        </w:rPr>
      </w:pPr>
      <w:r>
        <w:rPr>
          <w:sz w:val="24"/>
        </w:rPr>
      </w:r>
    </w:p>
    <w:p>
      <w:pPr>
        <w:pStyle w:val="BodyTextIndent"/>
        <w:rPr/>
      </w:pPr>
      <w:r>
        <w:rPr>
          <w:b/>
          <w:color w:val="FF0000"/>
        </w:rPr>
        <w:t>[</w:t>
      </w:r>
      <w:r>
        <w:rPr/>
        <w:t>If a Collateral Threshold Grid Schedule is used in this Collateral Annex, then use the following in lieu of the definition of "Collateral Threshold" above:</w:t>
      </w:r>
    </w:p>
    <w:p>
      <w:pPr>
        <w:pStyle w:val="Normal"/>
        <w:jc w:val="both"/>
        <w:rPr>
          <w:sz w:val="24"/>
        </w:rPr>
      </w:pPr>
      <w:r>
        <w:rPr>
          <w:sz w:val="24"/>
        </w:rPr>
      </w:r>
    </w:p>
    <w:p>
      <w:pPr>
        <w:pStyle w:val="Normal"/>
        <w:ind w:firstLine="720" w:end="0"/>
        <w:jc w:val="both"/>
        <w:rPr/>
      </w:pPr>
      <w:r>
        <w:rPr>
          <w:sz w:val="24"/>
        </w:rPr>
        <w:t>"</w:t>
      </w:r>
      <w:r>
        <w:rPr>
          <w:sz w:val="24"/>
          <w:u w:val="single"/>
        </w:rPr>
        <w:t>Collateral Threshold</w:t>
      </w:r>
      <w:r>
        <w:rPr>
          <w:sz w:val="24"/>
        </w:rPr>
        <w:t>" means, with respect to a Party, (a) the amount set forth opposite the lowest Credit Rating for the Party (or in the case of Party A, _________ and in the case of Party B, ____________) on the relevant date of determination or (b) zero if on the relevant date of determination the entity referred to in clause (a) above does not have a Credit Rating from the rating agency(ies) specified below or an Event of Default or a Potential Event of Default with respect to such Party has occurred and is continuing:</w:t>
      </w:r>
    </w:p>
    <w:p>
      <w:pPr>
        <w:pStyle w:val="Normal"/>
        <w:ind w:firstLine="1440" w:end="0"/>
        <w:jc w:val="both"/>
        <w:rPr>
          <w:sz w:val="14"/>
        </w:rPr>
      </w:pPr>
      <w:r>
        <w:rPr>
          <w:sz w:val="14"/>
        </w:rPr>
      </w:r>
    </w:p>
    <w:tbl>
      <w:tblPr>
        <w:tblW w:w="9180" w:type="dxa"/>
        <w:jc w:val="start"/>
        <w:tblInd w:w="108" w:type="dxa"/>
        <w:tblLayout w:type="fixed"/>
        <w:tblCellMar>
          <w:top w:w="0" w:type="dxa"/>
          <w:start w:w="108" w:type="dxa"/>
          <w:bottom w:w="0" w:type="dxa"/>
          <w:end w:w="108" w:type="dxa"/>
        </w:tblCellMar>
      </w:tblPr>
      <w:tblGrid>
        <w:gridCol w:w="1260"/>
        <w:gridCol w:w="90"/>
        <w:gridCol w:w="1350"/>
        <w:gridCol w:w="1620"/>
        <w:gridCol w:w="1620"/>
        <w:gridCol w:w="1620"/>
        <w:gridCol w:w="1620"/>
      </w:tblGrid>
      <w:tr>
        <w:trPr/>
        <w:tc>
          <w:tcPr>
            <w:tcW w:w="1350" w:type="dxa"/>
            <w:gridSpan w:val="2"/>
            <w:tcBorders/>
          </w:tcPr>
          <w:p>
            <w:pPr>
              <w:pStyle w:val="Normal"/>
              <w:keepNext w:val="true"/>
              <w:snapToGrid w:val="false"/>
              <w:rPr>
                <w:sz w:val="13"/>
                <w:u w:val="single"/>
              </w:rPr>
            </w:pPr>
            <w:r>
              <w:rPr>
                <w:sz w:val="13"/>
                <w:u w:val="single"/>
              </w:rPr>
            </w:r>
          </w:p>
          <w:p>
            <w:pPr>
              <w:pStyle w:val="Normal"/>
              <w:keepNext w:val="true"/>
              <w:rPr>
                <w:sz w:val="13"/>
                <w:u w:val="single"/>
              </w:rPr>
            </w:pPr>
            <w:r>
              <w:rPr>
                <w:sz w:val="13"/>
                <w:u w:val="single"/>
              </w:rPr>
              <w:t>PARTY A</w:t>
            </w:r>
          </w:p>
          <w:p>
            <w:pPr>
              <w:pStyle w:val="Normal"/>
              <w:keepNext w:val="true"/>
              <w:rPr>
                <w:sz w:val="13"/>
              </w:rPr>
            </w:pPr>
            <w:r>
              <w:rPr>
                <w:sz w:val="13"/>
                <w:u w:val="single"/>
              </w:rPr>
              <w:t>COLLATERAL THRESHOLD</w:t>
            </w:r>
          </w:p>
        </w:tc>
        <w:tc>
          <w:tcPr>
            <w:tcW w:w="1350" w:type="dxa"/>
            <w:tcBorders/>
          </w:tcPr>
          <w:p>
            <w:pPr>
              <w:pStyle w:val="Normal"/>
              <w:keepNext w:val="true"/>
              <w:snapToGrid w:val="false"/>
              <w:ind w:start="-18" w:end="0"/>
              <w:rPr>
                <w:sz w:val="13"/>
                <w:u w:val="single"/>
              </w:rPr>
            </w:pPr>
            <w:r>
              <w:rPr>
                <w:sz w:val="13"/>
                <w:u w:val="single"/>
              </w:rPr>
            </w:r>
          </w:p>
          <w:p>
            <w:pPr>
              <w:pStyle w:val="Normal"/>
              <w:keepNext w:val="true"/>
              <w:ind w:start="-18" w:end="0"/>
              <w:rPr>
                <w:sz w:val="13"/>
                <w:u w:val="single"/>
              </w:rPr>
            </w:pPr>
            <w:r>
              <w:rPr>
                <w:sz w:val="13"/>
                <w:u w:val="single"/>
              </w:rPr>
              <w:t>S&amp;P CREDIT RATING</w:t>
            </w:r>
          </w:p>
          <w:p>
            <w:pPr>
              <w:pStyle w:val="Normal"/>
              <w:keepNext w:val="true"/>
              <w:ind w:start="-18" w:end="0"/>
              <w:rPr>
                <w:sz w:val="13"/>
                <w:u w:val="single"/>
              </w:rPr>
            </w:pPr>
            <w:r>
              <w:rPr>
                <w:sz w:val="13"/>
                <w:u w:val="single"/>
              </w:rPr>
            </w:r>
          </w:p>
        </w:tc>
        <w:tc>
          <w:tcPr>
            <w:tcW w:w="1620" w:type="dxa"/>
            <w:tcBorders/>
          </w:tcPr>
          <w:p>
            <w:pPr>
              <w:pStyle w:val="Normal"/>
              <w:keepNext w:val="true"/>
              <w:snapToGrid w:val="false"/>
              <w:rPr>
                <w:sz w:val="13"/>
                <w:u w:val="single"/>
              </w:rPr>
            </w:pPr>
            <w:r>
              <w:rPr>
                <w:sz w:val="13"/>
                <w:u w:val="single"/>
              </w:rPr>
            </w:r>
          </w:p>
          <w:p>
            <w:pPr>
              <w:pStyle w:val="Normal"/>
              <w:keepNext w:val="true"/>
              <w:rPr>
                <w:sz w:val="13"/>
                <w:u w:val="single"/>
              </w:rPr>
            </w:pPr>
            <w:r>
              <w:rPr>
                <w:sz w:val="13"/>
                <w:u w:val="single"/>
              </w:rPr>
              <w:t>MOODY'S CREDIT RATING</w:t>
            </w:r>
          </w:p>
          <w:p>
            <w:pPr>
              <w:pStyle w:val="Normal"/>
              <w:keepNext w:val="true"/>
              <w:rPr>
                <w:sz w:val="13"/>
                <w:u w:val="single"/>
              </w:rPr>
            </w:pPr>
            <w:r>
              <w:rPr>
                <w:sz w:val="13"/>
                <w:u w:val="single"/>
              </w:rPr>
            </w:r>
          </w:p>
        </w:tc>
        <w:tc>
          <w:tcPr>
            <w:tcW w:w="1620" w:type="dxa"/>
            <w:tcBorders/>
          </w:tcPr>
          <w:p>
            <w:pPr>
              <w:pStyle w:val="Normal"/>
              <w:keepNext w:val="true"/>
              <w:snapToGrid w:val="false"/>
              <w:rPr>
                <w:sz w:val="13"/>
                <w:u w:val="single"/>
              </w:rPr>
            </w:pPr>
            <w:r>
              <w:rPr>
                <w:sz w:val="13"/>
                <w:u w:val="single"/>
              </w:rPr>
            </w:r>
          </w:p>
          <w:p>
            <w:pPr>
              <w:pStyle w:val="Normal"/>
              <w:keepNext w:val="true"/>
              <w:rPr>
                <w:sz w:val="13"/>
                <w:u w:val="single"/>
              </w:rPr>
            </w:pPr>
            <w:r>
              <w:rPr>
                <w:sz w:val="13"/>
                <w:u w:val="single"/>
              </w:rPr>
              <w:t>PARTY B</w:t>
            </w:r>
          </w:p>
          <w:p>
            <w:pPr>
              <w:pStyle w:val="Normal"/>
              <w:keepNext w:val="true"/>
              <w:rPr>
                <w:sz w:val="13"/>
              </w:rPr>
            </w:pPr>
            <w:r>
              <w:rPr>
                <w:sz w:val="13"/>
                <w:u w:val="single"/>
              </w:rPr>
              <w:t>COLLATERAL THRESHOLD</w:t>
            </w:r>
          </w:p>
        </w:tc>
        <w:tc>
          <w:tcPr>
            <w:tcW w:w="1620" w:type="dxa"/>
            <w:tcBorders/>
          </w:tcPr>
          <w:p>
            <w:pPr>
              <w:pStyle w:val="Normal"/>
              <w:keepNext w:val="true"/>
              <w:snapToGrid w:val="false"/>
              <w:ind w:start="-18" w:end="0"/>
              <w:rPr>
                <w:sz w:val="13"/>
                <w:u w:val="single"/>
              </w:rPr>
            </w:pPr>
            <w:r>
              <w:rPr>
                <w:sz w:val="13"/>
                <w:u w:val="single"/>
              </w:rPr>
            </w:r>
          </w:p>
          <w:p>
            <w:pPr>
              <w:pStyle w:val="Normal"/>
              <w:keepNext w:val="true"/>
              <w:ind w:start="-18" w:end="0"/>
              <w:rPr>
                <w:sz w:val="13"/>
                <w:u w:val="single"/>
              </w:rPr>
            </w:pPr>
            <w:r>
              <w:rPr>
                <w:sz w:val="13"/>
                <w:u w:val="single"/>
              </w:rPr>
              <w:t>S&amp;P CREDIT RATING</w:t>
            </w:r>
          </w:p>
          <w:p>
            <w:pPr>
              <w:pStyle w:val="Normal"/>
              <w:keepNext w:val="true"/>
              <w:ind w:start="-18" w:end="0"/>
              <w:rPr>
                <w:sz w:val="13"/>
                <w:u w:val="single"/>
              </w:rPr>
            </w:pPr>
            <w:r>
              <w:rPr>
                <w:sz w:val="13"/>
                <w:u w:val="single"/>
              </w:rPr>
            </w:r>
          </w:p>
        </w:tc>
        <w:tc>
          <w:tcPr>
            <w:tcW w:w="1620" w:type="dxa"/>
            <w:tcBorders/>
          </w:tcPr>
          <w:p>
            <w:pPr>
              <w:pStyle w:val="Normal"/>
              <w:keepNext w:val="true"/>
              <w:snapToGrid w:val="false"/>
              <w:rPr>
                <w:sz w:val="13"/>
                <w:u w:val="single"/>
              </w:rPr>
            </w:pPr>
            <w:r>
              <w:rPr>
                <w:sz w:val="13"/>
                <w:u w:val="single"/>
              </w:rPr>
            </w:r>
          </w:p>
          <w:p>
            <w:pPr>
              <w:pStyle w:val="Normal"/>
              <w:keepNext w:val="true"/>
              <w:rPr>
                <w:sz w:val="13"/>
                <w:u w:val="single"/>
              </w:rPr>
            </w:pPr>
            <w:r>
              <w:rPr>
                <w:sz w:val="13"/>
                <w:u w:val="single"/>
              </w:rPr>
              <w:t>MOODY'S CREDIT RATING</w:t>
            </w:r>
          </w:p>
          <w:p>
            <w:pPr>
              <w:pStyle w:val="Normal"/>
              <w:keepNext w:val="true"/>
              <w:rPr>
                <w:sz w:val="13"/>
                <w:u w:val="single"/>
              </w:rPr>
            </w:pPr>
            <w:r>
              <w:rPr>
                <w:sz w:val="13"/>
                <w:u w:val="single"/>
              </w:rPr>
            </w:r>
          </w:p>
        </w:tc>
      </w:tr>
      <w:tr>
        <w:trPr/>
        <w:tc>
          <w:tcPr>
            <w:tcW w:w="1260" w:type="dxa"/>
            <w:tcBorders/>
          </w:tcPr>
          <w:p>
            <w:pPr>
              <w:pStyle w:val="Normal"/>
              <w:keepNext w:val="true"/>
              <w:rPr>
                <w:sz w:val="24"/>
              </w:rPr>
            </w:pPr>
            <w:r>
              <w:rPr>
                <w:sz w:val="24"/>
              </w:rPr>
              <w:t>$_______</w:t>
            </w:r>
          </w:p>
        </w:tc>
        <w:tc>
          <w:tcPr>
            <w:tcW w:w="1440" w:type="dxa"/>
            <w:gridSpan w:val="2"/>
            <w:tcBorders/>
          </w:tcPr>
          <w:p>
            <w:pPr>
              <w:pStyle w:val="Normal"/>
              <w:keepNext w:val="true"/>
              <w:ind w:start="-18" w:end="0"/>
              <w:rPr>
                <w:sz w:val="24"/>
              </w:rPr>
            </w:pPr>
            <w:r>
              <w:rPr>
                <w:sz w:val="24"/>
              </w:rPr>
              <w:t>____ (or above)</w:t>
            </w:r>
          </w:p>
        </w:tc>
        <w:tc>
          <w:tcPr>
            <w:tcW w:w="1620" w:type="dxa"/>
            <w:tcBorders/>
          </w:tcPr>
          <w:p>
            <w:pPr>
              <w:pStyle w:val="Normal"/>
              <w:keepNext w:val="true"/>
              <w:rPr>
                <w:sz w:val="24"/>
              </w:rPr>
            </w:pPr>
            <w:r>
              <w:rPr>
                <w:sz w:val="24"/>
              </w:rPr>
              <w:t>_____ (or above)</w:t>
            </w:r>
          </w:p>
        </w:tc>
        <w:tc>
          <w:tcPr>
            <w:tcW w:w="1620" w:type="dxa"/>
            <w:tcBorders/>
          </w:tcPr>
          <w:p>
            <w:pPr>
              <w:pStyle w:val="Normal"/>
              <w:keepNext w:val="true"/>
              <w:rPr>
                <w:sz w:val="24"/>
              </w:rPr>
            </w:pPr>
            <w:r>
              <w:rPr>
                <w:sz w:val="24"/>
              </w:rPr>
              <w:t>$_______</w:t>
            </w:r>
          </w:p>
        </w:tc>
        <w:tc>
          <w:tcPr>
            <w:tcW w:w="1620" w:type="dxa"/>
            <w:tcBorders/>
          </w:tcPr>
          <w:p>
            <w:pPr>
              <w:pStyle w:val="Normal"/>
              <w:keepNext w:val="true"/>
              <w:ind w:start="-18" w:end="0"/>
              <w:rPr>
                <w:sz w:val="24"/>
              </w:rPr>
            </w:pPr>
            <w:r>
              <w:rPr>
                <w:sz w:val="24"/>
              </w:rPr>
              <w:t>___ (or above)</w:t>
            </w:r>
          </w:p>
        </w:tc>
        <w:tc>
          <w:tcPr>
            <w:tcW w:w="1620" w:type="dxa"/>
            <w:tcBorders/>
          </w:tcPr>
          <w:p>
            <w:pPr>
              <w:pStyle w:val="Normal"/>
              <w:keepNext w:val="true"/>
              <w:rPr>
                <w:sz w:val="24"/>
              </w:rPr>
            </w:pPr>
            <w:r>
              <w:rPr>
                <w:sz w:val="24"/>
              </w:rPr>
              <w:t>____ (or above)</w:t>
            </w:r>
          </w:p>
        </w:tc>
      </w:tr>
      <w:tr>
        <w:trPr/>
        <w:tc>
          <w:tcPr>
            <w:tcW w:w="1260" w:type="dxa"/>
            <w:tcBorders/>
          </w:tcPr>
          <w:p>
            <w:pPr>
              <w:pStyle w:val="Normal"/>
              <w:keepNext w:val="true"/>
              <w:rPr>
                <w:sz w:val="24"/>
              </w:rPr>
            </w:pPr>
            <w:r>
              <w:rPr>
                <w:sz w:val="24"/>
              </w:rPr>
              <w:t>$_______</w:t>
            </w:r>
          </w:p>
        </w:tc>
        <w:tc>
          <w:tcPr>
            <w:tcW w:w="1440" w:type="dxa"/>
            <w:gridSpan w:val="2"/>
            <w:tcBorders/>
          </w:tcPr>
          <w:p>
            <w:pPr>
              <w:pStyle w:val="Normal"/>
              <w:keepNext w:val="true"/>
              <w:ind w:start="-18" w:end="0"/>
              <w:rPr>
                <w:sz w:val="24"/>
              </w:rPr>
            </w:pPr>
            <w:r>
              <w:rPr>
                <w:sz w:val="24"/>
              </w:rPr>
              <w:t>_____</w:t>
            </w:r>
          </w:p>
        </w:tc>
        <w:tc>
          <w:tcPr>
            <w:tcW w:w="1620" w:type="dxa"/>
            <w:tcBorders/>
          </w:tcPr>
          <w:p>
            <w:pPr>
              <w:pStyle w:val="Normal"/>
              <w:keepNext w:val="true"/>
              <w:rPr>
                <w:sz w:val="24"/>
              </w:rPr>
            </w:pPr>
            <w:r>
              <w:rPr>
                <w:sz w:val="24"/>
              </w:rPr>
              <w:t>____</w:t>
            </w:r>
          </w:p>
        </w:tc>
        <w:tc>
          <w:tcPr>
            <w:tcW w:w="1620" w:type="dxa"/>
            <w:tcBorders/>
          </w:tcPr>
          <w:p>
            <w:pPr>
              <w:pStyle w:val="Normal"/>
              <w:keepNext w:val="true"/>
              <w:rPr>
                <w:sz w:val="24"/>
              </w:rPr>
            </w:pPr>
            <w:r>
              <w:rPr>
                <w:sz w:val="24"/>
              </w:rPr>
              <w:t>$_______</w:t>
            </w:r>
          </w:p>
        </w:tc>
        <w:tc>
          <w:tcPr>
            <w:tcW w:w="1620" w:type="dxa"/>
            <w:tcBorders/>
          </w:tcPr>
          <w:p>
            <w:pPr>
              <w:pStyle w:val="Normal"/>
              <w:keepNext w:val="true"/>
              <w:ind w:start="-18" w:end="0"/>
              <w:rPr>
                <w:sz w:val="24"/>
              </w:rPr>
            </w:pPr>
            <w:r>
              <w:rPr>
                <w:sz w:val="24"/>
              </w:rPr>
              <w:t>____</w:t>
            </w:r>
          </w:p>
        </w:tc>
        <w:tc>
          <w:tcPr>
            <w:tcW w:w="1620" w:type="dxa"/>
            <w:tcBorders/>
          </w:tcPr>
          <w:p>
            <w:pPr>
              <w:pStyle w:val="Normal"/>
              <w:keepNext w:val="true"/>
              <w:rPr>
                <w:sz w:val="24"/>
              </w:rPr>
            </w:pPr>
            <w:r>
              <w:rPr>
                <w:sz w:val="24"/>
              </w:rPr>
              <w:t>_____</w:t>
            </w:r>
          </w:p>
        </w:tc>
      </w:tr>
      <w:tr>
        <w:trPr/>
        <w:tc>
          <w:tcPr>
            <w:tcW w:w="1260" w:type="dxa"/>
            <w:tcBorders/>
          </w:tcPr>
          <w:p>
            <w:pPr>
              <w:pStyle w:val="Normal"/>
              <w:keepNext w:val="true"/>
              <w:rPr>
                <w:sz w:val="24"/>
              </w:rPr>
            </w:pPr>
            <w:r>
              <w:rPr>
                <w:sz w:val="24"/>
              </w:rPr>
              <w:t>$_______</w:t>
            </w:r>
          </w:p>
        </w:tc>
        <w:tc>
          <w:tcPr>
            <w:tcW w:w="1440" w:type="dxa"/>
            <w:gridSpan w:val="2"/>
            <w:tcBorders/>
          </w:tcPr>
          <w:p>
            <w:pPr>
              <w:pStyle w:val="Normal"/>
              <w:keepNext w:val="true"/>
              <w:ind w:start="-18" w:end="0"/>
              <w:rPr>
                <w:sz w:val="24"/>
              </w:rPr>
            </w:pPr>
            <w:r>
              <w:rPr>
                <w:sz w:val="24"/>
              </w:rPr>
              <w:t>_____</w:t>
            </w:r>
          </w:p>
        </w:tc>
        <w:tc>
          <w:tcPr>
            <w:tcW w:w="1620" w:type="dxa"/>
            <w:tcBorders/>
          </w:tcPr>
          <w:p>
            <w:pPr>
              <w:pStyle w:val="Normal"/>
              <w:keepNext w:val="true"/>
              <w:rPr>
                <w:sz w:val="24"/>
              </w:rPr>
            </w:pPr>
            <w:r>
              <w:rPr>
                <w:sz w:val="24"/>
              </w:rPr>
              <w:t>____</w:t>
            </w:r>
          </w:p>
        </w:tc>
        <w:tc>
          <w:tcPr>
            <w:tcW w:w="1620" w:type="dxa"/>
            <w:tcBorders/>
          </w:tcPr>
          <w:p>
            <w:pPr>
              <w:pStyle w:val="Normal"/>
              <w:keepNext w:val="true"/>
              <w:rPr>
                <w:sz w:val="24"/>
              </w:rPr>
            </w:pPr>
            <w:r>
              <w:rPr>
                <w:sz w:val="24"/>
              </w:rPr>
              <w:t>$_______</w:t>
            </w:r>
          </w:p>
        </w:tc>
        <w:tc>
          <w:tcPr>
            <w:tcW w:w="1620" w:type="dxa"/>
            <w:tcBorders/>
          </w:tcPr>
          <w:p>
            <w:pPr>
              <w:pStyle w:val="Normal"/>
              <w:keepNext w:val="true"/>
              <w:ind w:start="-18" w:end="0"/>
              <w:rPr>
                <w:sz w:val="24"/>
              </w:rPr>
            </w:pPr>
            <w:r>
              <w:rPr>
                <w:sz w:val="24"/>
              </w:rPr>
              <w:t>____</w:t>
            </w:r>
          </w:p>
        </w:tc>
        <w:tc>
          <w:tcPr>
            <w:tcW w:w="1620" w:type="dxa"/>
            <w:tcBorders/>
          </w:tcPr>
          <w:p>
            <w:pPr>
              <w:pStyle w:val="Normal"/>
              <w:keepNext w:val="true"/>
              <w:rPr>
                <w:sz w:val="24"/>
              </w:rPr>
            </w:pPr>
            <w:r>
              <w:rPr>
                <w:sz w:val="24"/>
              </w:rPr>
              <w:t>_____</w:t>
            </w:r>
          </w:p>
        </w:tc>
      </w:tr>
      <w:tr>
        <w:trPr/>
        <w:tc>
          <w:tcPr>
            <w:tcW w:w="1260" w:type="dxa"/>
            <w:tcBorders/>
          </w:tcPr>
          <w:p>
            <w:pPr>
              <w:pStyle w:val="Normal"/>
              <w:keepNext w:val="true"/>
              <w:rPr>
                <w:sz w:val="24"/>
              </w:rPr>
            </w:pPr>
            <w:r>
              <w:rPr>
                <w:sz w:val="24"/>
              </w:rPr>
              <w:t>$_______</w:t>
            </w:r>
          </w:p>
        </w:tc>
        <w:tc>
          <w:tcPr>
            <w:tcW w:w="1440" w:type="dxa"/>
            <w:gridSpan w:val="2"/>
            <w:tcBorders/>
          </w:tcPr>
          <w:p>
            <w:pPr>
              <w:pStyle w:val="Normal"/>
              <w:keepNext w:val="true"/>
              <w:ind w:start="-18" w:end="0"/>
              <w:rPr>
                <w:sz w:val="24"/>
              </w:rPr>
            </w:pPr>
            <w:r>
              <w:rPr>
                <w:sz w:val="24"/>
              </w:rPr>
              <w:t>_____</w:t>
            </w:r>
          </w:p>
        </w:tc>
        <w:tc>
          <w:tcPr>
            <w:tcW w:w="1620" w:type="dxa"/>
            <w:tcBorders/>
          </w:tcPr>
          <w:p>
            <w:pPr>
              <w:pStyle w:val="Normal"/>
              <w:keepNext w:val="true"/>
              <w:rPr>
                <w:sz w:val="24"/>
              </w:rPr>
            </w:pPr>
            <w:r>
              <w:rPr>
                <w:sz w:val="24"/>
              </w:rPr>
              <w:t>____</w:t>
            </w:r>
          </w:p>
        </w:tc>
        <w:tc>
          <w:tcPr>
            <w:tcW w:w="1620" w:type="dxa"/>
            <w:tcBorders/>
          </w:tcPr>
          <w:p>
            <w:pPr>
              <w:pStyle w:val="Normal"/>
              <w:keepNext w:val="true"/>
              <w:rPr>
                <w:sz w:val="24"/>
              </w:rPr>
            </w:pPr>
            <w:r>
              <w:rPr>
                <w:sz w:val="24"/>
              </w:rPr>
              <w:t>$_______</w:t>
            </w:r>
          </w:p>
        </w:tc>
        <w:tc>
          <w:tcPr>
            <w:tcW w:w="1620" w:type="dxa"/>
            <w:tcBorders/>
          </w:tcPr>
          <w:p>
            <w:pPr>
              <w:pStyle w:val="Normal"/>
              <w:keepNext w:val="true"/>
              <w:ind w:start="-18" w:end="0"/>
              <w:rPr>
                <w:sz w:val="24"/>
              </w:rPr>
            </w:pPr>
            <w:r>
              <w:rPr>
                <w:sz w:val="24"/>
              </w:rPr>
              <w:t>_____</w:t>
            </w:r>
          </w:p>
        </w:tc>
        <w:tc>
          <w:tcPr>
            <w:tcW w:w="1620" w:type="dxa"/>
            <w:tcBorders/>
          </w:tcPr>
          <w:p>
            <w:pPr>
              <w:pStyle w:val="Normal"/>
              <w:keepNext w:val="true"/>
              <w:rPr>
                <w:sz w:val="24"/>
              </w:rPr>
            </w:pPr>
            <w:r>
              <w:rPr>
                <w:sz w:val="24"/>
              </w:rPr>
              <w:t>_____</w:t>
            </w:r>
          </w:p>
        </w:tc>
      </w:tr>
      <w:tr>
        <w:trPr/>
        <w:tc>
          <w:tcPr>
            <w:tcW w:w="1260" w:type="dxa"/>
            <w:tcBorders/>
          </w:tcPr>
          <w:p>
            <w:pPr>
              <w:pStyle w:val="Normal"/>
              <w:rPr>
                <w:sz w:val="24"/>
              </w:rPr>
            </w:pPr>
            <w:r>
              <w:rPr>
                <w:sz w:val="24"/>
              </w:rPr>
              <w:t>$_______</w:t>
            </w:r>
          </w:p>
        </w:tc>
        <w:tc>
          <w:tcPr>
            <w:tcW w:w="1440" w:type="dxa"/>
            <w:gridSpan w:val="2"/>
            <w:tcBorders/>
          </w:tcPr>
          <w:p>
            <w:pPr>
              <w:pStyle w:val="Normal"/>
              <w:ind w:start="-18" w:end="0"/>
              <w:rPr>
                <w:sz w:val="24"/>
              </w:rPr>
            </w:pPr>
            <w:r>
              <w:rPr>
                <w:sz w:val="24"/>
              </w:rPr>
              <w:t>Below ____</w:t>
            </w:r>
          </w:p>
        </w:tc>
        <w:tc>
          <w:tcPr>
            <w:tcW w:w="1620" w:type="dxa"/>
            <w:tcBorders/>
          </w:tcPr>
          <w:p>
            <w:pPr>
              <w:pStyle w:val="Normal"/>
              <w:rPr>
                <w:sz w:val="24"/>
              </w:rPr>
            </w:pPr>
            <w:r>
              <w:rPr>
                <w:sz w:val="24"/>
              </w:rPr>
              <w:t>Below ____</w:t>
            </w:r>
          </w:p>
        </w:tc>
        <w:tc>
          <w:tcPr>
            <w:tcW w:w="1620" w:type="dxa"/>
            <w:tcBorders/>
          </w:tcPr>
          <w:p>
            <w:pPr>
              <w:pStyle w:val="Normal"/>
              <w:rPr>
                <w:sz w:val="24"/>
              </w:rPr>
            </w:pPr>
            <w:r>
              <w:rPr>
                <w:sz w:val="24"/>
              </w:rPr>
              <w:t>$_______</w:t>
            </w:r>
          </w:p>
        </w:tc>
        <w:tc>
          <w:tcPr>
            <w:tcW w:w="1620" w:type="dxa"/>
            <w:tcBorders/>
          </w:tcPr>
          <w:p>
            <w:pPr>
              <w:pStyle w:val="Normal"/>
              <w:ind w:start="-18" w:end="0"/>
              <w:rPr>
                <w:sz w:val="24"/>
              </w:rPr>
            </w:pPr>
            <w:r>
              <w:rPr>
                <w:sz w:val="24"/>
              </w:rPr>
              <w:t>Below ____</w:t>
            </w:r>
          </w:p>
        </w:tc>
        <w:tc>
          <w:tcPr>
            <w:tcW w:w="1620" w:type="dxa"/>
            <w:tcBorders/>
          </w:tcPr>
          <w:p>
            <w:pPr>
              <w:pStyle w:val="Normal"/>
              <w:rPr>
                <w:sz w:val="24"/>
              </w:rPr>
            </w:pPr>
            <w:r>
              <w:rPr>
                <w:sz w:val="24"/>
              </w:rPr>
              <w:t>Below ____</w:t>
            </w:r>
          </w:p>
        </w:tc>
      </w:tr>
    </w:tbl>
    <w:p>
      <w:pPr>
        <w:pStyle w:val="Normal"/>
        <w:jc w:val="both"/>
        <w:rPr>
          <w:sz w:val="24"/>
        </w:rPr>
      </w:pPr>
      <w:r>
        <w:rPr>
          <w:sz w:val="24"/>
        </w:rPr>
      </w:r>
    </w:p>
    <w:p>
      <w:pPr>
        <w:pStyle w:val="BodyTextIndent2"/>
        <w:ind w:firstLine="720" w:start="0" w:end="0"/>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times the stated amount then available under the Letter of Credit to be unconditionally drawn by the Exposed Party and (c) with respect to other forms of Performance Assurance,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the Exposed Party pursuant to this Collateral Annex</w:t>
      </w:r>
      <w:r>
        <w:rPr>
          <w:rFonts w:cs="Times New Roman" w:ascii="Times New Roman" w:hAnsi="Times New Roman"/>
          <w:color w:val="000000"/>
          <w:sz w:val="24"/>
        </w:rPr>
        <w:t xml:space="preserve"> as determined by the Exposed Party in a commercially reasonable manner.  </w:t>
      </w:r>
      <w:r>
        <w:rPr>
          <w:rFonts w:cs="Times New Roman" w:ascii="Times New Roman" w:hAnsi="Times New Roman"/>
          <w:b/>
          <w:bCs/>
          <w:color w:val="000000"/>
          <w:sz w:val="24"/>
        </w:rPr>
        <w:t>[Discuss Valuation Percentage with respect to LC’s per Virginia Power’s and AEP’s comments]</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Section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by the Exposed Party in good faith and in a commercially reasonable manner, which a Party to the Agreement would pay to or receive from the other Party as the Settlement Amount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Section 6(a).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Section 6(a)(iii).</w:t>
      </w:r>
    </w:p>
    <w:p>
      <w:pPr>
        <w:pStyle w:val="Normal"/>
        <w:spacing w:before="240" w:after="0"/>
        <w:ind w:firstLine="720" w:end="0"/>
        <w:jc w:val="both"/>
        <w:rPr/>
      </w:pPr>
      <w:r>
        <w:rPr>
          <w:sz w:val="24"/>
        </w:rPr>
        <w:t>"</w:t>
      </w:r>
      <w:r>
        <w:rPr>
          <w:sz w:val="24"/>
          <w:u w:val="single"/>
        </w:rPr>
        <w:t>Eligible Collateral</w:t>
      </w:r>
      <w:r>
        <w:rPr>
          <w:sz w:val="24"/>
        </w:rPr>
        <w:t>" -- the following items will qualify as "Eligible Collateral" for the Party specified:</w:t>
      </w:r>
    </w:p>
    <w:p>
      <w:pPr>
        <w:pStyle w:val="Normal"/>
        <w:spacing w:before="240" w:after="0"/>
        <w:ind w:firstLine="360" w:end="0"/>
        <w:jc w:val="both"/>
        <w:rPr>
          <w:sz w:val="24"/>
        </w:rPr>
      </w:pPr>
      <w:r>
        <w:rPr>
          <w:sz w:val="24"/>
        </w:rPr>
      </w:r>
    </w:p>
    <w:tbl>
      <w:tblPr>
        <w:tblW w:w="4878" w:type="dxa"/>
        <w:jc w:val="start"/>
        <w:tblInd w:w="0" w:type="dxa"/>
        <w:tblLayout w:type="fixed"/>
        <w:tblCellMar>
          <w:top w:w="0" w:type="dxa"/>
          <w:start w:w="108" w:type="dxa"/>
          <w:bottom w:w="0" w:type="dxa"/>
          <w:end w:w="108" w:type="dxa"/>
        </w:tblCellMar>
      </w:tblPr>
      <w:tblGrid>
        <w:gridCol w:w="468"/>
        <w:gridCol w:w="810"/>
        <w:gridCol w:w="630"/>
        <w:gridCol w:w="1260"/>
        <w:gridCol w:w="1710"/>
      </w:tblGrid>
      <w:tr>
        <w:trPr>
          <w:trHeight w:val="90" w:hRule="atLeast"/>
        </w:trPr>
        <w:tc>
          <w:tcPr>
            <w:tcW w:w="468" w:type="dxa"/>
            <w:tcBorders/>
          </w:tcPr>
          <w:p>
            <w:pPr>
              <w:pStyle w:val="Normal"/>
              <w:snapToGrid w:val="false"/>
              <w:spacing w:before="240" w:after="0"/>
              <w:jc w:val="both"/>
              <w:rPr>
                <w:sz w:val="24"/>
              </w:rPr>
            </w:pPr>
            <w:r>
              <w:rPr>
                <w:sz w:val="24"/>
              </w:rPr>
            </w:r>
          </w:p>
        </w:tc>
        <w:tc>
          <w:tcPr>
            <w:tcW w:w="810" w:type="dxa"/>
            <w:tcBorders/>
          </w:tcPr>
          <w:p>
            <w:pPr>
              <w:pStyle w:val="Normal"/>
              <w:snapToGrid w:val="false"/>
              <w:spacing w:before="240" w:after="0"/>
              <w:jc w:val="both"/>
              <w:rPr>
                <w:sz w:val="24"/>
              </w:rPr>
            </w:pPr>
            <w:r>
              <w:rPr>
                <w:sz w:val="24"/>
              </w:rPr>
            </w:r>
          </w:p>
        </w:tc>
        <w:tc>
          <w:tcPr>
            <w:tcW w:w="630" w:type="dxa"/>
            <w:tcBorders/>
          </w:tcPr>
          <w:p>
            <w:pPr>
              <w:pStyle w:val="Normal"/>
              <w:spacing w:before="240" w:after="0"/>
              <w:jc w:val="both"/>
              <w:rPr>
                <w:sz w:val="16"/>
              </w:rPr>
            </w:pPr>
            <w:r>
              <w:rPr>
                <w:sz w:val="16"/>
              </w:rPr>
              <w:t>Party A</w:t>
            </w:r>
          </w:p>
        </w:tc>
        <w:tc>
          <w:tcPr>
            <w:tcW w:w="1260" w:type="dxa"/>
            <w:tcBorders/>
          </w:tcPr>
          <w:p>
            <w:pPr>
              <w:pStyle w:val="Normal"/>
              <w:spacing w:before="240" w:after="0"/>
              <w:jc w:val="both"/>
              <w:rPr>
                <w:sz w:val="16"/>
              </w:rPr>
            </w:pPr>
            <w:r>
              <w:rPr>
                <w:sz w:val="16"/>
              </w:rPr>
              <w:t>Party B</w:t>
            </w:r>
          </w:p>
        </w:tc>
        <w:tc>
          <w:tcPr>
            <w:tcW w:w="1710" w:type="dxa"/>
            <w:tcBorders/>
          </w:tcPr>
          <w:p>
            <w:pPr>
              <w:pStyle w:val="Heading3"/>
              <w:numPr>
                <w:ilvl w:val="0"/>
                <w:numId w:val="0"/>
              </w:numPr>
              <w:spacing w:before="0" w:after="120"/>
              <w:ind w:hanging="0" w:start="720" w:end="0"/>
              <w:rPr>
                <w:sz w:val="16"/>
              </w:rPr>
            </w:pPr>
            <w:r>
              <w:rPr>
                <w:sz w:val="16"/>
              </w:rPr>
              <w:t>Valuation Percentage</w:t>
            </w:r>
          </w:p>
        </w:tc>
      </w:tr>
      <w:tr>
        <w:trPr/>
        <w:tc>
          <w:tcPr>
            <w:tcW w:w="468" w:type="dxa"/>
            <w:tcBorders/>
          </w:tcPr>
          <w:p>
            <w:pPr>
              <w:pStyle w:val="Normal"/>
              <w:spacing w:before="240" w:after="0"/>
              <w:jc w:val="both"/>
              <w:rPr>
                <w:sz w:val="16"/>
              </w:rPr>
            </w:pPr>
            <w:r>
              <w:rPr>
                <w:sz w:val="16"/>
              </w:rPr>
              <w:t>(A)</w:t>
            </w:r>
          </w:p>
        </w:tc>
        <w:tc>
          <w:tcPr>
            <w:tcW w:w="810" w:type="dxa"/>
            <w:tcBorders/>
          </w:tcPr>
          <w:p>
            <w:pPr>
              <w:pStyle w:val="Normal"/>
              <w:spacing w:before="240" w:after="0"/>
              <w:jc w:val="both"/>
              <w:rPr>
                <w:sz w:val="16"/>
              </w:rPr>
            </w:pPr>
            <w:r>
              <w:rPr>
                <w:sz w:val="16"/>
              </w:rPr>
              <w:t>Cash</w:t>
            </w:r>
          </w:p>
        </w:tc>
        <w:tc>
          <w:tcPr>
            <w:tcW w:w="630" w:type="dxa"/>
            <w:tcBorders/>
          </w:tcPr>
          <w:p>
            <w:pPr>
              <w:pStyle w:val="Normal"/>
              <w:spacing w:before="240" w:after="0"/>
              <w:jc w:val="center"/>
              <w:rPr>
                <w:sz w:val="16"/>
              </w:rPr>
            </w:pPr>
            <w:r>
              <w:rPr>
                <w:b/>
                <w:sz w:val="16"/>
              </w:rPr>
              <w:t>[</w:t>
            </w:r>
            <w:r>
              <w:rPr>
                <w:sz w:val="16"/>
              </w:rPr>
              <w:t>X</w:t>
            </w:r>
            <w:r>
              <w:rPr>
                <w:b/>
                <w:sz w:val="16"/>
              </w:rPr>
              <w:t>]</w:t>
            </w:r>
          </w:p>
        </w:tc>
        <w:tc>
          <w:tcPr>
            <w:tcW w:w="1260" w:type="dxa"/>
            <w:tcBorders/>
          </w:tcPr>
          <w:p>
            <w:pPr>
              <w:pStyle w:val="Normal"/>
              <w:spacing w:before="240" w:after="0"/>
              <w:jc w:val="center"/>
              <w:rPr>
                <w:sz w:val="16"/>
              </w:rPr>
            </w:pPr>
            <w:r>
              <w:rPr>
                <w:b/>
                <w:sz w:val="16"/>
              </w:rPr>
              <w:t>[</w:t>
            </w:r>
            <w:r>
              <w:rPr>
                <w:sz w:val="16"/>
              </w:rPr>
              <w:t>X</w:t>
            </w:r>
            <w:r>
              <w:rPr>
                <w:b/>
                <w:sz w:val="16"/>
              </w:rPr>
              <w:t>]</w:t>
            </w:r>
          </w:p>
        </w:tc>
        <w:tc>
          <w:tcPr>
            <w:tcW w:w="1710" w:type="dxa"/>
            <w:tcBorders/>
          </w:tcPr>
          <w:p>
            <w:pPr>
              <w:pStyle w:val="Normal"/>
              <w:spacing w:before="240" w:after="0"/>
              <w:jc w:val="both"/>
              <w:rPr>
                <w:sz w:val="16"/>
              </w:rPr>
            </w:pPr>
            <w:r>
              <w:rPr>
                <w:sz w:val="16"/>
              </w:rPr>
              <w:t>100%</w:t>
            </w:r>
          </w:p>
        </w:tc>
      </w:tr>
      <w:tr>
        <w:trPr/>
        <w:tc>
          <w:tcPr>
            <w:tcW w:w="468" w:type="dxa"/>
            <w:tcBorders/>
          </w:tcPr>
          <w:p>
            <w:pPr>
              <w:pStyle w:val="Normal"/>
              <w:spacing w:before="240" w:after="0"/>
              <w:jc w:val="both"/>
              <w:rPr>
                <w:sz w:val="16"/>
              </w:rPr>
            </w:pPr>
            <w:r>
              <w:rPr>
                <w:sz w:val="16"/>
              </w:rPr>
              <w:t>(B)</w:t>
            </w:r>
          </w:p>
        </w:tc>
        <w:tc>
          <w:tcPr>
            <w:tcW w:w="810" w:type="dxa"/>
            <w:tcBorders/>
          </w:tcPr>
          <w:p>
            <w:pPr>
              <w:pStyle w:val="Normal"/>
              <w:spacing w:before="240" w:after="0"/>
              <w:jc w:val="both"/>
              <w:rPr>
                <w:sz w:val="16"/>
              </w:rPr>
            </w:pPr>
            <w:r>
              <w:rPr>
                <w:sz w:val="16"/>
              </w:rPr>
              <w:t>Letters of Credit</w:t>
            </w:r>
          </w:p>
        </w:tc>
        <w:tc>
          <w:tcPr>
            <w:tcW w:w="630" w:type="dxa"/>
            <w:tcBorders/>
          </w:tcPr>
          <w:p>
            <w:pPr>
              <w:pStyle w:val="Normal"/>
              <w:spacing w:before="240" w:after="0"/>
              <w:jc w:val="center"/>
              <w:rPr>
                <w:sz w:val="16"/>
              </w:rPr>
            </w:pPr>
            <w:r>
              <w:rPr>
                <w:b/>
                <w:sz w:val="16"/>
              </w:rPr>
              <w:t>[</w:t>
            </w:r>
            <w:r>
              <w:rPr>
                <w:sz w:val="16"/>
              </w:rPr>
              <w:t>X</w:t>
            </w:r>
            <w:r>
              <w:rPr>
                <w:b/>
                <w:sz w:val="16"/>
              </w:rPr>
              <w:t>]</w:t>
            </w:r>
          </w:p>
        </w:tc>
        <w:tc>
          <w:tcPr>
            <w:tcW w:w="1260" w:type="dxa"/>
            <w:tcBorders/>
          </w:tcPr>
          <w:p>
            <w:pPr>
              <w:pStyle w:val="Normal"/>
              <w:spacing w:before="240" w:after="0"/>
              <w:jc w:val="center"/>
              <w:rPr>
                <w:sz w:val="16"/>
              </w:rPr>
            </w:pPr>
            <w:r>
              <w:rPr>
                <w:b/>
                <w:sz w:val="16"/>
              </w:rPr>
              <w:t>[</w:t>
            </w:r>
            <w:r>
              <w:rPr>
                <w:sz w:val="16"/>
              </w:rPr>
              <w:t>X</w:t>
            </w:r>
            <w:r>
              <w:rPr>
                <w:b/>
                <w:sz w:val="16"/>
              </w:rPr>
              <w:t>]</w:t>
            </w:r>
          </w:p>
        </w:tc>
        <w:tc>
          <w:tcPr>
            <w:tcW w:w="1710" w:type="dxa"/>
            <w:tcBorders/>
          </w:tcPr>
          <w:p>
            <w:pPr>
              <w:pStyle w:val="Normal"/>
              <w:spacing w:before="240" w:after="0"/>
              <w:jc w:val="both"/>
              <w:rPr/>
            </w:pPr>
            <w:r>
              <w:rPr>
                <w:sz w:val="16"/>
              </w:rPr>
              <w:t xml:space="preserve">100% unless either (i) a Letter of Credit Default shall apply with respect to such Letter of Credit, or (ii) </w:t>
            </w:r>
            <w:r>
              <w:rPr>
                <w:b/>
                <w:bCs/>
                <w:sz w:val="16"/>
              </w:rPr>
              <w:t>[</w:t>
            </w:r>
            <w:r>
              <w:rPr>
                <w:sz w:val="16"/>
              </w:rPr>
              <w:t>twenty (20)</w:t>
            </w:r>
            <w:r>
              <w:rPr>
                <w:b/>
                <w:bCs/>
                <w:sz w:val="16"/>
              </w:rPr>
              <w:t>]</w:t>
            </w:r>
            <w:r>
              <w:rPr>
                <w:sz w:val="16"/>
              </w:rPr>
              <w:t xml:space="preserve"> or fewer Business Days remain prior to the expiration of such Letter of Credit, in which case the Valuation Percentage shall be 0.</w:t>
            </w:r>
          </w:p>
        </w:tc>
      </w:tr>
    </w:tbl>
    <w:p>
      <w:pPr>
        <w:pStyle w:val="Normal"/>
        <w:spacing w:before="240" w:after="0"/>
        <w:ind w:firstLine="360" w:end="0"/>
        <w:jc w:val="both"/>
        <w:rPr>
          <w:sz w:val="24"/>
        </w:rPr>
      </w:pPr>
      <w:r>
        <w:rPr>
          <w:sz w:val="24"/>
        </w:rPr>
        <w:tab/>
      </w:r>
    </w:p>
    <w:p>
      <w:pPr>
        <w:pStyle w:val="Normal"/>
        <w:ind w:firstLine="720" w:end="0"/>
        <w:jc w:val="both"/>
        <w:rPr/>
      </w:pPr>
      <w:r>
        <w:rPr>
          <w:sz w:val="24"/>
        </w:rPr>
        <w:t>“</w:t>
      </w:r>
      <w:r>
        <w:rPr>
          <w:sz w:val="24"/>
          <w:u w:val="single"/>
        </w:rPr>
        <w:t>Exposed Party</w:t>
      </w:r>
      <w:r>
        <w:rPr>
          <w:sz w:val="24"/>
        </w:rPr>
        <w:t>” shall have the meaning set forth in Section 3(a).</w:t>
      </w:r>
    </w:p>
    <w:p>
      <w:pPr>
        <w:pStyle w:val="BodyText2"/>
        <w:rPr>
          <w:sz w:val="24"/>
        </w:rPr>
      </w:pPr>
      <w:r>
        <w:rPr>
          <w:sz w:val="24"/>
        </w:rPr>
        <w:tab/>
      </w:r>
    </w:p>
    <w:p>
      <w:pPr>
        <w:pStyle w:val="Normal"/>
        <w:spacing w:before="240" w:after="0"/>
        <w:ind w:firstLine="720" w:end="0"/>
        <w:jc w:val="both"/>
        <w:rPr/>
      </w:pPr>
      <w:r>
        <w:rPr>
          <w:bCs/>
          <w:sz w:val="24"/>
        </w:rPr>
        <w:t>"</w:t>
      </w:r>
      <w:r>
        <w:rPr>
          <w:bCs/>
          <w:sz w:val="24"/>
          <w:u w:val="single"/>
        </w:rPr>
        <w:t>Exposure</w:t>
      </w:r>
      <w:r>
        <w:rPr>
          <w:bCs/>
          <w:sz w:val="24"/>
        </w:rPr>
        <w:t>" for each Transaction means (without duplication) as of any Calculation Date:</w:t>
      </w:r>
    </w:p>
    <w:p>
      <w:pPr>
        <w:pStyle w:val="Normal"/>
        <w:ind w:firstLine="720" w:start="720" w:end="0"/>
        <w:jc w:val="both"/>
        <w:rPr>
          <w:bCs/>
          <w:sz w:val="24"/>
        </w:rPr>
      </w:pPr>
      <w:r>
        <w:rPr>
          <w:bCs/>
          <w:sz w:val="24"/>
        </w:rPr>
      </w:r>
    </w:p>
    <w:p>
      <w:pPr>
        <w:pStyle w:val="Normal"/>
        <w:ind w:firstLine="180" w:start="360" w:end="0"/>
        <w:jc w:val="both"/>
        <w:rPr>
          <w:bCs/>
          <w:sz w:val="24"/>
        </w:rPr>
      </w:pPr>
      <w:r>
        <w:rPr>
          <w:bCs/>
          <w:sz w:val="24"/>
        </w:rPr>
        <w:t>(a)  the aggregate of all amounts in respect of such Transaction that are owed or otherwise accrued and payable (regardless of whether such amounts have been or could be invoiced) and remain unpaid as of such Calculation Date, with the Party due and owed the net sum of such amounts having Exposure to the other Party in such net amount; and</w:t>
      </w:r>
    </w:p>
    <w:p>
      <w:pPr>
        <w:pStyle w:val="Normal"/>
        <w:ind w:firstLine="180" w:start="360" w:end="0"/>
        <w:jc w:val="both"/>
        <w:rPr>
          <w:bCs/>
          <w:sz w:val="24"/>
        </w:rPr>
      </w:pPr>
      <w:r>
        <w:rPr>
          <w:bCs/>
          <w:sz w:val="24"/>
        </w:rPr>
      </w:r>
    </w:p>
    <w:p>
      <w:pPr>
        <w:pStyle w:val="Normal"/>
        <w:ind w:firstLine="180" w:start="360" w:end="0"/>
        <w:jc w:val="both"/>
        <w:rPr>
          <w:bCs/>
          <w:sz w:val="24"/>
        </w:rPr>
      </w:pPr>
      <w:r>
        <w:rPr>
          <w:bCs/>
          <w:sz w:val="24"/>
        </w:rPr>
        <w:t>(b)  the Current Mark-to-Market Value of a Transaction, with the Party that would be due and owed such amount from the other Party having Exposure to the other Party in such amount.</w:t>
      </w:r>
    </w:p>
    <w:p>
      <w:pPr>
        <w:pStyle w:val="BodyText2"/>
        <w:rPr>
          <w:bCs/>
          <w:sz w:val="24"/>
        </w:rPr>
      </w:pPr>
      <w:r>
        <w:rPr>
          <w:bCs/>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attributed to it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sz w:val="24"/>
        </w:rPr>
        <w:tab/>
        <w:t>"</w:t>
      </w:r>
      <w:r>
        <w:rPr>
          <w:sz w:val="24"/>
          <w:u w:val="single"/>
        </w:rPr>
        <w:t>Federal Funds Effective Rate</w:t>
      </w:r>
      <w:r>
        <w:rPr>
          <w:sz w:val="24"/>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spacing w:before="240" w:after="0"/>
        <w:ind w:firstLine="720" w:end="0"/>
        <w:jc w:val="both"/>
        <w:rPr/>
      </w:pPr>
      <w:r>
        <w:rPr>
          <w:sz w:val="24"/>
        </w:rPr>
        <w:t>"</w:t>
      </w:r>
      <w:r>
        <w:rPr>
          <w:sz w:val="24"/>
          <w:u w:val="single"/>
        </w:rPr>
        <w:t>Independent Amount</w:t>
      </w:r>
      <w:r>
        <w:rPr>
          <w:sz w:val="24"/>
        </w:rPr>
        <w:t>" shall mean, with respect to Party A $_______________, or if no amount is specified, zero, and with respect to Party B $_____________, or if no amount is specified, zero, or with respect to either Party, the amount specified as such for that party in each Confirmation, or if no amount is specified, zero.</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(as defined below) the aggregate sum of the amounts of interest calculated for each day in that Interest Period on the principal amount of Cash held by the Exposed Party on that day, determined by the Exposed Party for each such day as follows: (x) the amount of Cash on that day; multiplied by (y) the Interest Rate (as defined below) for that day divided by (z)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shall be the Federal Funds Effective Rate as from time to time in effect.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a foreign bank with a U.S. branch office with a Credit Rating of at least </w:t>
      </w:r>
      <w:r>
        <w:rPr>
          <w:b/>
          <w:bCs/>
          <w:sz w:val="24"/>
        </w:rPr>
        <w:t>[</w:t>
      </w:r>
      <w:r>
        <w:rPr>
          <w:sz w:val="24"/>
        </w:rPr>
        <w:t>"A-"</w:t>
      </w:r>
      <w:r>
        <w:rPr>
          <w:b/>
          <w:bCs/>
          <w:sz w:val="24"/>
        </w:rPr>
        <w:t>]</w:t>
      </w:r>
      <w:r>
        <w:rPr>
          <w:sz w:val="24"/>
        </w:rPr>
        <w:t xml:space="preserve"> by S&amp;P </w:t>
      </w:r>
      <w:r>
        <w:rPr>
          <w:b/>
          <w:bCs/>
          <w:sz w:val="24"/>
        </w:rPr>
        <w:t>[</w:t>
      </w:r>
      <w:r>
        <w:rPr>
          <w:sz w:val="24"/>
        </w:rPr>
        <w:t>and</w:t>
      </w:r>
      <w:r>
        <w:rPr>
          <w:b/>
          <w:bCs/>
          <w:sz w:val="24"/>
        </w:rPr>
        <w:t>]</w:t>
      </w:r>
      <w:r>
        <w:rPr>
          <w:sz w:val="24"/>
        </w:rPr>
        <w:t xml:space="preserve"> </w:t>
      </w:r>
      <w:r>
        <w:rPr>
          <w:b/>
          <w:bCs/>
          <w:sz w:val="24"/>
        </w:rPr>
        <w:t>[</w:t>
      </w:r>
      <w:r>
        <w:rPr>
          <w:sz w:val="24"/>
        </w:rPr>
        <w:t>"A3"</w:t>
      </w:r>
      <w:r>
        <w:rPr>
          <w:b/>
          <w:sz w:val="24"/>
        </w:rPr>
        <w:t>]</w:t>
      </w:r>
      <w:r>
        <w:rPr>
          <w:sz w:val="24"/>
        </w:rPr>
        <w:t xml:space="preserve"> by Moody's, utilizing the form set forth in </w:t>
      </w:r>
      <w:r>
        <w:rPr>
          <w:sz w:val="24"/>
          <w:u w:val="single"/>
        </w:rPr>
        <w:t>Schedule 1</w:t>
      </w:r>
      <w:r>
        <w:rPr>
          <w:sz w:val="24"/>
        </w:rPr>
        <w:t xml:space="preserve"> attached hereto, with such changes to the terms in that form as the issuing bank may require and as may be acceptable to the Exposed Party.</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(i) the issuer of such Letter of Credit shall fail to maintain a Credit Rating of at least </w:t>
      </w:r>
      <w:r>
        <w:rPr>
          <w:b/>
          <w:sz w:val="24"/>
        </w:rPr>
        <w:t>[</w:t>
      </w:r>
      <w:r>
        <w:rPr>
          <w:sz w:val="24"/>
        </w:rPr>
        <w:t>"A-"</w:t>
      </w:r>
      <w:r>
        <w:rPr>
          <w:b/>
          <w:sz w:val="24"/>
        </w:rPr>
        <w:t>]</w:t>
      </w:r>
      <w:r>
        <w:rPr>
          <w:sz w:val="24"/>
        </w:rPr>
        <w:t xml:space="preserve"> by S&amp;P </w:t>
      </w:r>
      <w:r>
        <w:rPr>
          <w:b/>
          <w:sz w:val="24"/>
        </w:rPr>
        <w:t>[</w:t>
      </w:r>
      <w:r>
        <w:rPr>
          <w:sz w:val="24"/>
        </w:rPr>
        <w:t>or</w:t>
      </w:r>
      <w:r>
        <w:rPr>
          <w:b/>
          <w:sz w:val="24"/>
        </w:rPr>
        <w:t>]</w:t>
      </w:r>
      <w:r>
        <w:rPr>
          <w:sz w:val="24"/>
        </w:rPr>
        <w:t xml:space="preserve"> </w:t>
      </w:r>
      <w:r>
        <w:rPr>
          <w:b/>
          <w:sz w:val="24"/>
        </w:rPr>
        <w:t>[</w:t>
      </w:r>
      <w:r>
        <w:rPr>
          <w:sz w:val="24"/>
        </w:rPr>
        <w:t>"A3"</w:t>
      </w:r>
      <w:r>
        <w:rPr>
          <w:b/>
          <w:sz w:val="24"/>
        </w:rPr>
        <w:t>]</w:t>
      </w:r>
      <w:r>
        <w:rPr>
          <w:sz w:val="24"/>
        </w:rPr>
        <w:t xml:space="preserve">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the issuer of such Letter of Credit becomes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the Non-Exposed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means _________________ with respect to Party A and ______________ with respect to Party B.  </w:t>
      </w:r>
      <w:r>
        <w:rPr>
          <w:rFonts w:cs="Times New Roman" w:ascii="Times New Roman" w:hAnsi="Times New Roman"/>
          <w:b/>
          <w:sz w:val="24"/>
        </w:rPr>
        <w:t>[Discuss whether this should drop to zero upon an Event of Default per Virginia Power’s comments]</w:t>
      </w:r>
    </w:p>
    <w:p>
      <w:pPr>
        <w:pStyle w:val="Normal"/>
        <w:spacing w:before="240" w:after="0"/>
        <w:ind w:firstLine="720" w:end="0"/>
        <w:jc w:val="both"/>
        <w:rPr/>
      </w:pPr>
      <w:r>
        <w:rPr>
          <w:sz w:val="24"/>
        </w:rPr>
        <w:t>"</w:t>
      </w:r>
      <w:r>
        <w:rPr>
          <w:sz w:val="24"/>
          <w:u w:val="single"/>
        </w:rPr>
        <w:t>Net Exposure</w:t>
      </w:r>
      <w:r>
        <w:rPr>
          <w:sz w:val="24"/>
        </w:rPr>
        <w:t>" shall have the meaning attributed to it in Section 3(a).</w:t>
      </w:r>
    </w:p>
    <w:p>
      <w:pPr>
        <w:pStyle w:val="Normal"/>
        <w:spacing w:before="240" w:after="0"/>
        <w:ind w:firstLine="720" w:end="0"/>
        <w:jc w:val="both"/>
        <w:rPr/>
      </w:pPr>
      <w:r>
        <w:rPr>
          <w:sz w:val="24"/>
        </w:rPr>
        <w:t>"</w:t>
      </w:r>
      <w:r>
        <w:rPr>
          <w:sz w:val="24"/>
          <w:u w:val="single"/>
        </w:rPr>
        <w:t>Non</w:t>
        <w:noBreakHyphen/>
        <w:t>Exposed Party</w:t>
      </w:r>
      <w:r>
        <w:rPr>
          <w:sz w:val="24"/>
        </w:rPr>
        <w:t>" shall have the meaning attributed to it in Section 3(a).</w:t>
      </w:r>
    </w:p>
    <w:p>
      <w:pPr>
        <w:pStyle w:val="Normal"/>
        <w:spacing w:before="240" w:after="0"/>
        <w:ind w:firstLine="720" w:end="0"/>
        <w:jc w:val="both"/>
        <w:rPr/>
      </w:pPr>
      <w:r>
        <w:rPr>
          <w:sz w:val="24"/>
        </w:rPr>
        <w:t>"</w:t>
      </w:r>
      <w:r>
        <w:rPr>
          <w:sz w:val="24"/>
          <w:u w:val="single"/>
        </w:rPr>
        <w:t>Non-Requesting Party</w:t>
      </w:r>
      <w:r>
        <w:rPr>
          <w:sz w:val="24"/>
        </w:rPr>
        <w:t>" means the Party to which a request is made to reduce the amount of Performance Assurance previously provided by the Requesting Party for the benefit of the Non-Requesting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_________, New York time, on any Calculation Date.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Section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other property, and all proceeds thereof that have been Transferred to or received by the Exposed Party hereunder and not Transferred to the Non-Exposed Party pursuant to Section 5 or released by the Exposed Party.  Any Interest Amount or portion thereof not Transferred pursuant to Section 6(a)(iv) and any Cash received and held by the Exposed Party after drawing on any Letter of Credit will constitute Performance Assurance in the form of Cash.</w:t>
      </w:r>
    </w:p>
    <w:p>
      <w:pPr>
        <w:pStyle w:val="PASSParawInden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 of the United States or a political subdivision thereof, </w:t>
      </w:r>
      <w:r>
        <w:rPr>
          <w:rFonts w:cs="Times New Roman" w:ascii="Times New Roman" w:hAnsi="Times New Roman"/>
          <w:b/>
          <w:sz w:val="24"/>
        </w:rPr>
        <w:t>[</w:t>
      </w:r>
      <w:r>
        <w:rPr>
          <w:rFonts w:cs="Times New Roman" w:ascii="Times New Roman" w:hAnsi="Times New Roman"/>
          <w:sz w:val="24"/>
        </w:rPr>
        <w:t>with a Credit Rating of at least "A-" by S&amp;P or "A3" in the case of Moody's</w:t>
      </w:r>
      <w:r>
        <w:rPr>
          <w:rFonts w:cs="Times New Roman" w:ascii="Times New Roman" w:hAnsi="Times New Roman"/>
          <w:b/>
          <w:sz w:val="24"/>
        </w:rPr>
        <w:t>][</w:t>
      </w:r>
      <w:r>
        <w:rPr>
          <w:rFonts w:cs="Times New Roman" w:ascii="Times New Roman" w:hAnsi="Times New Roman"/>
          <w:sz w:val="24"/>
        </w:rPr>
        <w:t xml:space="preserve"> having capital and surplus of at least USD ____________.</w:t>
      </w:r>
      <w:r>
        <w:rPr>
          <w:rFonts w:cs="Times New Roman" w:ascii="Times New Roman" w:hAnsi="Times New Roman"/>
          <w:b/>
          <w:sz w:val="24"/>
        </w:rPr>
        <w:t>]</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w:t>
      </w:r>
      <w:r>
        <w:rPr>
          <w:b/>
          <w:bCs/>
          <w:sz w:val="24"/>
        </w:rPr>
        <w:t>[</w:t>
      </w:r>
      <w:r>
        <w:rPr>
          <w:sz w:val="24"/>
        </w:rPr>
        <w:t>dealer</w:t>
      </w:r>
      <w:r>
        <w:rPr>
          <w:b/>
          <w:bCs/>
          <w:sz w:val="24"/>
        </w:rPr>
        <w:t>]</w:t>
      </w:r>
      <w:r>
        <w:rPr>
          <w:sz w:val="24"/>
        </w:rPr>
        <w:t xml:space="preserve">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r>
        <w:rPr>
          <w:b/>
          <w:bCs/>
          <w:sz w:val="24"/>
        </w:rPr>
        <w:t>[Discuss whether the term dealer should be expanded.]</w:t>
      </w:r>
    </w:p>
    <w:p>
      <w:pPr>
        <w:pStyle w:val="Normal"/>
        <w:spacing w:before="240" w:after="0"/>
        <w:ind w:firstLine="720" w:end="0"/>
        <w:jc w:val="both"/>
        <w:rPr/>
      </w:pPr>
      <w:r>
        <w:rPr>
          <w:sz w:val="24"/>
        </w:rPr>
        <w:t>"</w:t>
      </w:r>
      <w:r>
        <w:rPr>
          <w:sz w:val="24"/>
          <w:u w:val="single"/>
        </w:rPr>
        <w:t>Requesting Party</w:t>
      </w:r>
      <w:r>
        <w:rPr>
          <w:sz w:val="24"/>
        </w:rPr>
        <w:t>" means the Party requesting a reduction in the amount of Performance Assurance previously provided by the Requesting Party for the benefit of the Non-Requesting Party.</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Party A, $_____________ and with respect to Party B, $____________.</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Exposed Party, the Non-Exposed Party or the Requesting Party, as applicable:</w:t>
      </w:r>
    </w:p>
    <w:p>
      <w:pPr>
        <w:pStyle w:val="BodyTextIndent3"/>
        <w:rPr/>
      </w:pPr>
      <w:r>
        <w:rPr/>
        <w:t>(i) in the case of Cash, payment or delivery by wire transfer into one or more bank accounts specified by the recipient;</w:t>
      </w:r>
    </w:p>
    <w:p>
      <w:pPr>
        <w:pStyle w:val="Normal"/>
        <w:spacing w:before="240" w:after="0"/>
        <w:ind w:start="360" w:end="0"/>
        <w:jc w:val="both"/>
        <w:rPr>
          <w:sz w:val="24"/>
        </w:rPr>
      </w:pPr>
      <w:r>
        <w:rPr>
          <w:sz w:val="24"/>
        </w:rPr>
        <w:t>(ii)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(iii)</w:t>
        <w:tab/>
        <w:t xml:space="preserve">  in the case of any other type of Performance Assurance,  __________________.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jc w:val="both"/>
        <w:rPr>
          <w:sz w:val="24"/>
        </w:rPr>
      </w:pPr>
      <w:r>
        <w:rPr>
          <w:sz w:val="24"/>
        </w:rPr>
        <w:tab/>
      </w:r>
      <w:r>
        <w:rPr>
          <w:color w:val="000000"/>
          <w:sz w:val="24"/>
        </w:rPr>
        <w:tab/>
      </w:r>
    </w:p>
    <w:p>
      <w:pPr>
        <w:pStyle w:val="Normal"/>
        <w:tabs>
          <w:tab w:val="clear" w:pos="720"/>
          <w:tab w:val="left" w:pos="0" w:leader="none"/>
        </w:tabs>
        <w:suppressAutoHyphens w:val="true"/>
        <w:jc w:val="both"/>
        <w:rPr/>
      </w:pPr>
      <w:r>
        <w:rPr>
          <w:sz w:val="24"/>
        </w:rPr>
        <w:t>2.</w:t>
        <w:tab/>
      </w:r>
      <w:r>
        <w:rPr>
          <w:sz w:val="24"/>
          <w:u w:val="single"/>
        </w:rPr>
        <w:t>Encumbrance; Grant of Security Interest</w:t>
      </w:r>
      <w:r>
        <w:rPr>
          <w:sz w:val="24"/>
        </w:rPr>
        <w:t>.  As security for the prompt and complete payment of all amounts due or that may become due from the Non-Exposed Party to the Exposed Party and the performance by the Non-Exposed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the Non-Exposed Party hereby pledges, assigns, conveys and transfers to the Exposed Party, and hereby grants to the Exposed Party a first-priority continuing security interest in and to, and a general first lien upon and right of set off against, all Performance Assurance which has been or may in the future be Transferred to, or received by, the Exposed Party and/or its Custodian, and all dividends, interest, and other proceeds from time to time received, receivable or otherwise distributed in respect of, or in exchange for, any or all of the foregoing and each Party agrees to take such action as the other Party reasonably requires in order to perfect the other Party's first-priority continuing security interest in, and lien on (and right of setoff against), such Performance Assurance.</w:t>
      </w:r>
    </w:p>
    <w:p>
      <w:pPr>
        <w:pStyle w:val="BodyText"/>
        <w:widowControl/>
        <w:rPr>
          <w:rFonts w:ascii="Times New Roman" w:hAnsi="Times New Roman" w:cs="Times New Roman"/>
          <w:sz w:val="24"/>
        </w:rPr>
      </w:pPr>
      <w:r>
        <w:rPr>
          <w:rFonts w:cs="Times New Roman" w:ascii="Times New Roman" w:hAnsi="Times New Roman"/>
          <w:sz w:val="24"/>
        </w:rPr>
        <w:t>.</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pPr>
      <w:r>
        <w:rPr>
          <w:sz w:val="24"/>
        </w:rPr>
        <w:t>3.</w:t>
        <w:tab/>
      </w:r>
      <w:r>
        <w:rPr>
          <w:sz w:val="24"/>
          <w:u w:val="single"/>
        </w:rPr>
        <w:t>Calculations of Collateral Requirement</w:t>
      </w:r>
      <w:r>
        <w:rPr>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4"/>
        </w:rPr>
      </w:pPr>
      <w:r>
        <w:rPr>
          <w:color w:val="000000"/>
          <w:sz w:val="24"/>
        </w:rPr>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the total of all Transactions for which there are any ongoing Obligations, by calculating each Party's Exposure to the other Party in respect of each Transaction and totaling the Exposures for each such Party.  The Party having the greater Exposure Amount at any time (the “</w:t>
      </w:r>
      <w:r>
        <w:rPr>
          <w:sz w:val="24"/>
          <w:u w:val="single"/>
        </w:rPr>
        <w:t>Exposed Party</w:t>
      </w:r>
      <w:r>
        <w:rPr>
          <w:sz w:val="24"/>
        </w:rPr>
        <w:t>”) shall be deemed to have a "</w:t>
      </w:r>
      <w:r>
        <w:rPr>
          <w:sz w:val="24"/>
          <w:u w:val="single"/>
        </w:rPr>
        <w:t>Net Exposure</w:t>
      </w:r>
      <w:r>
        <w:rPr>
          <w:sz w:val="24"/>
        </w:rPr>
        <w:t>" to the other Party (the “</w:t>
      </w:r>
      <w:r>
        <w:rPr>
          <w:sz w:val="24"/>
          <w:u w:val="single"/>
        </w:rPr>
        <w:t>Non-Exposed Party</w:t>
      </w:r>
      <w:r>
        <w:rPr>
          <w:sz w:val="24"/>
        </w:rPr>
        <w:t>”) equal to the difference between its Exposure Amount and the other Party's Exposure Amount.</w:t>
      </w:r>
    </w:p>
    <w:p>
      <w:pPr>
        <w:pStyle w:val="Normal"/>
        <w:spacing w:before="240" w:after="0"/>
        <w:ind w:firstLine="360" w:end="0"/>
        <w:jc w:val="both"/>
        <w:rPr/>
      </w:pPr>
      <w:r>
        <w:rPr>
          <w:sz w:val="24"/>
        </w:rPr>
        <w:t>(b)  The "</w:t>
      </w:r>
      <w:r>
        <w:rPr>
          <w:sz w:val="24"/>
          <w:u w:val="single"/>
        </w:rPr>
        <w:t>Collateral Requirement</w:t>
      </w:r>
      <w:r>
        <w:rPr>
          <w:sz w:val="24"/>
        </w:rPr>
        <w:t>" for a Non-Exposed Party means the excess, if any, of (i) the sum of (A) the Exposed Party's Net Exposure plus (B) the aggregate of all Independent Amounts applicable to the Non-Exposed Party minus the sum of (ii):</w:t>
      </w:r>
    </w:p>
    <w:p>
      <w:pPr>
        <w:pStyle w:val="Normal"/>
        <w:tabs>
          <w:tab w:val="clear" w:pos="720"/>
          <w:tab w:val="left" w:pos="2160" w:leader="none"/>
        </w:tabs>
        <w:spacing w:before="240" w:after="0"/>
        <w:ind w:firstLine="180" w:start="360" w:end="0"/>
        <w:jc w:val="both"/>
        <w:rPr>
          <w:sz w:val="24"/>
        </w:rPr>
      </w:pPr>
      <w:r>
        <w:rPr>
          <w:sz w:val="24"/>
        </w:rPr>
        <w:t>(1) the Non-Exposed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by the Non-Exposed Party, the amount of Cash held by the Exposed Party as a result of drawing under any Letter of Credit, and any Interest Amount that has not yet been Transferred to the Non-Exposed Party; plus</w:t>
      </w:r>
    </w:p>
    <w:p>
      <w:pPr>
        <w:pStyle w:val="Normal"/>
        <w:tabs>
          <w:tab w:val="clear" w:pos="720"/>
          <w:tab w:val="left" w:pos="2160" w:leader="none"/>
        </w:tabs>
        <w:spacing w:before="240" w:after="0"/>
        <w:ind w:start="540" w:end="0"/>
        <w:jc w:val="both"/>
        <w:rPr/>
      </w:pPr>
      <w:r>
        <w:rPr>
          <w:sz w:val="24"/>
        </w:rPr>
        <w:t xml:space="preserve">(3) the Value of each Letter of Credit and any other form of Performance Assurance (other than Cash) maintained by the Non-Exposed Party for the benefit of the Exposed Party;  </w:t>
      </w:r>
      <w:r>
        <w:rPr>
          <w:b/>
          <w:bCs/>
          <w:sz w:val="24"/>
        </w:rPr>
        <w:t>[</w:t>
      </w:r>
      <w:r>
        <w:rPr>
          <w:sz w:val="24"/>
        </w:rPr>
        <w:t>plus</w:t>
      </w:r>
    </w:p>
    <w:p>
      <w:pPr>
        <w:pStyle w:val="Normal"/>
        <w:tabs>
          <w:tab w:val="clear" w:pos="720"/>
          <w:tab w:val="left" w:pos="0" w:leader="none"/>
        </w:tabs>
        <w:suppressAutoHyphens w:val="true"/>
        <w:jc w:val="both"/>
        <w:rPr>
          <w:color w:val="000000"/>
          <w:sz w:val="24"/>
        </w:rPr>
      </w:pPr>
      <w:r>
        <w:rPr>
          <w:color w:val="000000"/>
          <w:sz w:val="24"/>
        </w:rPr>
        <w:tab/>
        <w:tab/>
      </w:r>
    </w:p>
    <w:p>
      <w:pPr>
        <w:pStyle w:val="Normal"/>
        <w:tabs>
          <w:tab w:val="clear" w:pos="720"/>
          <w:tab w:val="left" w:pos="540" w:leader="none"/>
        </w:tabs>
        <w:suppressAutoHyphens w:val="true"/>
        <w:ind w:start="540" w:end="0"/>
        <w:jc w:val="both"/>
        <w:rPr>
          <w:b/>
          <w:bCs/>
          <w:color w:val="000000"/>
          <w:sz w:val="24"/>
        </w:rPr>
      </w:pPr>
      <w:r>
        <w:rPr>
          <w:color w:val="000000"/>
          <w:sz w:val="24"/>
        </w:rPr>
        <w:t>(4)</w:t>
      </w:r>
      <w:r>
        <w:rPr>
          <w:sz w:val="24"/>
        </w:rPr>
        <w:t xml:space="preserve"> the aggregate of all Independent Amounts applicable to the Exposed Party</w:t>
      </w:r>
      <w:r>
        <w:rPr>
          <w:b/>
          <w:bCs/>
          <w:sz w:val="24"/>
        </w:rPr>
        <w:t>.]</w:t>
      </w:r>
    </w:p>
    <w:p>
      <w:pPr>
        <w:pStyle w:val="Normal"/>
        <w:tabs>
          <w:tab w:val="clear" w:pos="720"/>
          <w:tab w:val="left" w:pos="0" w:leader="none"/>
        </w:tabs>
        <w:suppressAutoHyphens w:val="true"/>
        <w:jc w:val="both"/>
        <w:rPr>
          <w:b/>
          <w:bCs/>
          <w:color w:val="000000"/>
          <w:sz w:val="24"/>
          <w:u w:val="single"/>
        </w:rPr>
      </w:pPr>
      <w:r>
        <w:rPr>
          <w:b/>
          <w:bCs/>
          <w:color w:val="000000"/>
          <w:sz w:val="24"/>
          <w:u w:val="single"/>
        </w:rPr>
      </w:r>
    </w:p>
    <w:p>
      <w:pPr>
        <w:pStyle w:val="Normal"/>
        <w:tabs>
          <w:tab w:val="clear" w:pos="720"/>
          <w:tab w:val="left" w:pos="0" w:leader="none"/>
        </w:tabs>
        <w:suppressAutoHyphens w:val="true"/>
        <w:jc w:val="both"/>
        <w:rPr/>
      </w:pPr>
      <w:r>
        <w:rPr>
          <w:color w:val="000000"/>
          <w:sz w:val="24"/>
        </w:rPr>
        <w:t>;</w:t>
      </w:r>
      <w:r>
        <w:rPr>
          <w:color w:val="000000"/>
          <w:sz w:val="24"/>
          <w:u w:val="single"/>
        </w:rPr>
        <w:t>provided, however</w:t>
      </w:r>
      <w:r>
        <w:rPr>
          <w:color w:val="000000"/>
          <w:sz w:val="24"/>
        </w:rPr>
        <w:t xml:space="preserve">, that, the Collateral Requirement will be deemed to be zero (0) whenever the calculation of Collateral Requirement yields a number less than zero (0).  </w:t>
      </w:r>
      <w:r>
        <w:rPr>
          <w:b/>
          <w:bCs/>
          <w:color w:val="000000"/>
          <w:sz w:val="24"/>
        </w:rPr>
        <w:t>[Discuss role of Independent Amount in Sections 3(b) and 5(a)]</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4.</w:t>
        <w:tab/>
      </w:r>
      <w:r>
        <w:rPr>
          <w:sz w:val="24"/>
          <w:u w:val="single"/>
        </w:rPr>
        <w:t>Delivery of Performance Assurance</w:t>
      </w:r>
      <w:r>
        <w:rPr>
          <w:sz w:val="24"/>
        </w:rPr>
        <w:t>.</w:t>
        <w:tab/>
        <w:t xml:space="preserve">On any Calculation Date on which (i) no Event of Default or Potential Event of Default has occurred and is continuing with respect to the Exposed Party, (ii) no Early Termination Date has occurred or been designated as a result of an Event of Default with respect to the Exposed Party for which any unsatisfied payment Obligations of the Exposed Party exist, </w:t>
      </w:r>
      <w:r>
        <w:rPr>
          <w:b/>
          <w:bCs/>
          <w:sz w:val="24"/>
        </w:rPr>
        <w:t>[</w:t>
      </w:r>
      <w:r>
        <w:rPr>
          <w:sz w:val="24"/>
        </w:rPr>
        <w:t>and (iii) the Non-Exposed Party’s Collateral Requirement equals or exceeds its Minimum Transfer Amount</w:t>
      </w:r>
      <w:r>
        <w:rPr>
          <w:b/>
          <w:bCs/>
          <w:sz w:val="24"/>
        </w:rPr>
        <w:t>]</w:t>
      </w:r>
      <w:r>
        <w:rPr>
          <w:sz w:val="24"/>
        </w:rPr>
        <w:t xml:space="preserve">, then the Exposed Party may demand that the Non-Exposed Party Transfer to the Exposed Party, and the Non-Exposed Party shall, after receiving such notice from the Exposed Party, Transfer, or cause to be Transferred to the Exposed Party, Performance Assurance for the benefit of the Exposed Party, in an amount and with a Value at least equal to the Non-Exposed Party’s Collateral Requirement.  The amount of Performance Assurance required to be Transferred hereunder shall be rounded up to the nearest integral multiple of the Rounding Amount.  </w:t>
      </w:r>
      <w:r>
        <w:rPr>
          <w:bCs/>
          <w:sz w:val="24"/>
        </w:rPr>
        <w:t xml:space="preserve">Unless otherwise agreed in writing by the Parties, Performance Assurance demanded of a Non-Exposed Party on or before the Notification Time on a Business Day shall be provided by the close of business on the </w:t>
      </w:r>
      <w:r>
        <w:rPr>
          <w:b/>
          <w:bCs/>
          <w:sz w:val="24"/>
        </w:rPr>
        <w:t>[</w:t>
      </w:r>
      <w:r>
        <w:rPr>
          <w:bCs/>
          <w:sz w:val="24"/>
        </w:rPr>
        <w:t>second</w:t>
      </w:r>
      <w:r>
        <w:rPr>
          <w:b/>
          <w:bCs/>
          <w:sz w:val="24"/>
        </w:rPr>
        <w:t>]</w:t>
      </w:r>
      <w:r>
        <w:rPr>
          <w:bCs/>
          <w:sz w:val="24"/>
        </w:rPr>
        <w:t xml:space="preserve"> succeeding Business Day.</w:t>
      </w:r>
      <w:r>
        <w:rPr>
          <w:sz w:val="24"/>
        </w:rPr>
        <w:t xml:space="preserve">  Any Letter of Credit or other type of Performance Assurance (other than Cash) shall be delivered to such address as the Exposed Party shall specify and any such demand made pursuant to this Section 4 by the Exposed Party shall specify account information for the account to which Performance Assurance in the form of Cash may be delivered.  </w:t>
      </w:r>
      <w:r>
        <w:rPr>
          <w:b/>
          <w:bCs/>
          <w:sz w:val="24"/>
        </w:rPr>
        <w:t xml:space="preserve">[Discuss whether there should be a “Minimum Transfer Amount” concept in sections 4 and 5]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Requesting Party may request a reduction in the amount of Performance Assurance previously provided by the Requesting Party for the benefit of the Non-Requesting Party, provided that, after the requested reduction in Performance Assurance, (i) the Requesting Party shall then have a Collateral Requirement of zero; </w:t>
      </w:r>
      <w:r>
        <w:rPr>
          <w:b/>
          <w:bCs/>
          <w:sz w:val="24"/>
        </w:rPr>
        <w:t>[</w:t>
      </w:r>
      <w:r>
        <w:rPr>
          <w:sz w:val="24"/>
        </w:rPr>
        <w:t>(ii) if at such time there are outstanding Transactions between the Parties or unsatisfied obligations from the Requesting Party to the Non-Requesting Party exist with respect to any Transactions, the Non-Requesting Party shall either be holding Performance Assurance or shall have had Performance Assurance issued for its benefit in an amount equal to the aggregate of any Independent Amounts applicable to the Requesting Party;</w:t>
      </w:r>
      <w:r>
        <w:rPr>
          <w:b/>
          <w:bCs/>
          <w:sz w:val="24"/>
        </w:rPr>
        <w:t>]</w:t>
      </w:r>
      <w:r>
        <w:rPr>
          <w:sz w:val="24"/>
        </w:rPr>
        <w:t xml:space="preserve"> (iii) no Event of Default or Potential Event of Default with respect to the Requesting Party shall have occurred and be continuing; and (iv) no Early Termination Date for which any unsatisfied payment obligations of the Requesting Party exists has occurred or been designated as a result of an Event of Default with respect to the Requesting Party.  A permitted reduction in Performance Assurance may be effected by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w:t>
      </w:r>
      <w:r>
        <w:rPr>
          <w:bCs/>
          <w:sz w:val="24"/>
        </w:rPr>
        <w:t xml:space="preserve">.  </w:t>
      </w:r>
      <w:r>
        <w:rPr>
          <w:sz w:val="24"/>
        </w:rPr>
        <w:t xml:space="preserve">The Non-Requesting Party shall have </w:t>
      </w:r>
      <w:r>
        <w:rPr>
          <w:b/>
          <w:sz w:val="24"/>
        </w:rPr>
        <w:t>[</w:t>
      </w:r>
      <w:r>
        <w:rPr>
          <w:sz w:val="24"/>
        </w:rPr>
        <w:t>two (2)</w:t>
      </w:r>
      <w:r>
        <w:rPr>
          <w:b/>
          <w:sz w:val="24"/>
        </w:rPr>
        <w:t>]</w:t>
      </w:r>
      <w:r>
        <w:rPr>
          <w:sz w:val="24"/>
        </w:rPr>
        <w:t xml:space="preserve">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pPr>
      <w:r>
        <w:rPr/>
        <w:tab/>
        <w:t>(b)</w:t>
        <w:tab/>
        <w:t xml:space="preserve">Except (i) when an Event of Default or Potential Event of Default with respect to the Non-Exposed Party shall have occurred and be continuing or (ii) if an Early Termination Date has occurred or been designated as a result of an Event of Default with respect to the Non-Exposed Party, the Non-Exposed Party may substitute Performance Assurance for other existing Performance Assurance of equal Value upon two (2) Business Days written notice to the Exposed Party; </w:t>
      </w:r>
      <w:r>
        <w:rPr>
          <w:b/>
        </w:rPr>
        <w:t>[</w:t>
      </w:r>
      <w:r>
        <w:rPr/>
        <w:t>provided, however, that if such substitute Performance Assurance is of a [different type][type not otherwise approved by this Collateral Annex], then the Exposed Party must consent to such substitution</w:t>
      </w:r>
      <w:r>
        <w:rPr>
          <w:b/>
        </w:rPr>
        <w:t>]</w:t>
      </w:r>
      <w:r>
        <w:rPr/>
        <w:t xml:space="preserve">. Upon the Transfer to the Exposed Party and/or its Custodian of the substitute Performance Assurance, the Exposed Party and/or its Custodian shall Transfer the relevant replaced Performance Assurance to the Non-Exposed Party.  Notwithstanding anything herein to the contrary, no such substitution shall be permitted unless (i) the substitute Performance Assurance is delivered simultaneously or has been delivered to the Exposed Party and/or its Custodian prior to the release of the Performance Assurance to be returned to the Non-Exposed Party and the security interest in, and general first lien upon, such substituted Performance Assurance granted pursuant hereto in favor of the Exposed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w:t>
      </w:r>
      <w:r>
        <w:rPr>
          <w:b/>
          <w:bCs/>
        </w:rPr>
        <w:t>[</w:t>
      </w:r>
      <w:r>
        <w:rPr/>
        <w:t>the greater of</w:t>
      </w:r>
      <w:r>
        <w:rPr>
          <w:b/>
          <w:bCs/>
        </w:rPr>
        <w:t xml:space="preserve">] </w:t>
      </w:r>
      <w:r>
        <w:rPr/>
        <w:t xml:space="preserve">the Non-Exposed Party’s Collateral Requirement </w:t>
      </w:r>
      <w:r>
        <w:rPr>
          <w:b/>
          <w:bCs/>
        </w:rPr>
        <w:t>[</w:t>
      </w:r>
      <w:r>
        <w:rPr/>
        <w:t>or the Non-Exposed Party’s Minimum Transfer Amount</w:t>
      </w:r>
      <w:r>
        <w:rPr>
          <w:b/>
          <w:bCs/>
        </w:rPr>
        <w:t>]</w:t>
      </w:r>
      <w:r>
        <w:rPr/>
        <w:t xml:space="preserve">.  Each substitution of Performance Assurance shall constitute a reaffirmation by the Non-Exposed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Exposed Party pursuant to Section 2.  </w:t>
      </w:r>
      <w:r>
        <w:rPr>
          <w:b/>
        </w:rPr>
        <w:t>[Discuss consent requirement for different types of collateral per Virginia Power’s and AEP’s comments]</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Exposed Party and/or its Custodian in accordance with this Section 5 shall be deemed a release by the Exposed Party of its security interest, general first lien and right of offset granted pursuant to Section 2 hereof only with respect to such returned Performance Assurance.  In connection with each Transfer of any Performance Assurance pursuant to this Section 5, the Non-Exposed Party will, upon request of the Exposed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6.</w:t>
        <w:tab/>
      </w:r>
      <w:r>
        <w:rPr>
          <w:sz w:val="24"/>
          <w:u w:val="single"/>
        </w:rPr>
        <w:t>Administration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spacing w:before="240" w:after="0"/>
        <w:jc w:val="both"/>
        <w:rPr/>
      </w:pPr>
      <w:r>
        <w:rPr>
          <w:sz w:val="24"/>
        </w:rPr>
        <w:tab/>
        <w:t xml:space="preserve">(a)  </w:t>
      </w:r>
      <w:r>
        <w:rPr>
          <w:sz w:val="24"/>
          <w:u w:val="single"/>
        </w:rPr>
        <w:t>Cash</w:t>
      </w:r>
      <w:r>
        <w:rPr>
          <w:sz w:val="24"/>
        </w:rPr>
        <w:t>.  Performance Assurance provided in the form of Cash shall be subject to the following provisions.</w:t>
      </w:r>
    </w:p>
    <w:p>
      <w:pPr>
        <w:pStyle w:val="Normal"/>
        <w:spacing w:before="240" w:after="0"/>
        <w:ind w:firstLine="720" w:end="0"/>
        <w:jc w:val="both"/>
        <w:rPr/>
      </w:pPr>
      <w:r>
        <w:rPr>
          <w:sz w:val="24"/>
        </w:rPr>
        <w:t xml:space="preserve">(i) If Party A is the Exposed Party, it will be entitled to hold Cash or to appoint an agent which is a Qualified Institution (a "Custodian") to hold Cash for it provided that the following conditions are satisfied:  (1) it is not a Defaulting Party, (2), </w:t>
      </w:r>
      <w:r>
        <w:rPr>
          <w:b/>
          <w:sz w:val="24"/>
        </w:rPr>
        <w:t>[</w:t>
      </w:r>
      <w:r>
        <w:rPr>
          <w:b/>
          <w:color w:val="FF0000"/>
          <w:sz w:val="24"/>
        </w:rPr>
        <w:t>[</w:t>
      </w:r>
      <w:r>
        <w:rPr>
          <w:color w:val="FF0000"/>
          <w:sz w:val="24"/>
        </w:rPr>
        <w:t>it</w:t>
      </w:r>
      <w:r>
        <w:rPr>
          <w:b/>
          <w:color w:val="FF0000"/>
          <w:sz w:val="24"/>
        </w:rPr>
        <w:t>]</w:t>
      </w:r>
      <w:r>
        <w:rPr>
          <w:sz w:val="24"/>
        </w:rPr>
        <w:t xml:space="preserve"> </w:t>
      </w:r>
      <w:r>
        <w:rPr>
          <w:b/>
          <w:color w:val="FF0000"/>
          <w:sz w:val="24"/>
        </w:rPr>
        <w:t>[</w:t>
      </w:r>
      <w:r>
        <w:rPr>
          <w:sz w:val="24"/>
        </w:rPr>
        <w:t>its Guarantor</w:t>
      </w:r>
      <w:r>
        <w:rPr>
          <w:b/>
          <w:color w:val="FF0000"/>
          <w:sz w:val="24"/>
        </w:rPr>
        <w:t>]</w:t>
      </w:r>
      <w:r>
        <w:rPr>
          <w:sz w:val="24"/>
        </w:rPr>
        <w:t xml:space="preserve"> has a Credit Rating from ______ and the lowest Credit Rating for </w:t>
      </w:r>
      <w:r>
        <w:rPr>
          <w:b/>
          <w:color w:val="FF0000"/>
          <w:sz w:val="24"/>
        </w:rPr>
        <w:t>[</w:t>
      </w:r>
      <w:r>
        <w:rPr>
          <w:color w:val="FF0000"/>
          <w:sz w:val="24"/>
        </w:rPr>
        <w:t>it</w:t>
      </w:r>
      <w:r>
        <w:rPr>
          <w:b/>
          <w:color w:val="FF0000"/>
          <w:sz w:val="24"/>
        </w:rPr>
        <w:t>]</w:t>
      </w:r>
      <w:r>
        <w:rPr>
          <w:sz w:val="24"/>
        </w:rPr>
        <w:t xml:space="preserve"> </w:t>
      </w:r>
      <w:r>
        <w:rPr>
          <w:b/>
          <w:color w:val="FF0000"/>
          <w:sz w:val="24"/>
        </w:rPr>
        <w:t>[</w:t>
      </w:r>
      <w:r>
        <w:rPr>
          <w:sz w:val="24"/>
        </w:rPr>
        <w:t>its Guarantor</w:t>
      </w:r>
      <w:r>
        <w:rPr>
          <w:b/>
          <w:color w:val="FF0000"/>
          <w:sz w:val="24"/>
        </w:rPr>
        <w:t>]</w:t>
      </w:r>
      <w:r>
        <w:rPr>
          <w:sz w:val="24"/>
        </w:rPr>
        <w:t xml:space="preserve"> is ___________ or higher by ___________</w:t>
      </w:r>
      <w:r>
        <w:rPr>
          <w:color w:val="000000"/>
          <w:sz w:val="24"/>
        </w:rPr>
        <w:t>; and</w:t>
      </w:r>
      <w:r>
        <w:rPr>
          <w:sz w:val="24"/>
        </w:rPr>
        <w:t xml:space="preserve"> (3) Cash shall be held only in any jurisdiction within the United States.</w:t>
      </w:r>
    </w:p>
    <w:p>
      <w:pPr>
        <w:pStyle w:val="Normal"/>
        <w:spacing w:before="240" w:after="0"/>
        <w:ind w:firstLine="720" w:end="0"/>
        <w:jc w:val="both"/>
        <w:rPr/>
      </w:pPr>
      <w:r>
        <w:rPr>
          <w:sz w:val="24"/>
        </w:rPr>
        <w:t xml:space="preserve">(ii) If Party B is the Exposed Party, it will be entitled to hold Cash or to appoint a Custodian to hold Cash for it provided the following conditions are satisfied:  (1) it is not a Defaulting Party, (2) </w:t>
      </w:r>
      <w:r>
        <w:rPr>
          <w:b/>
          <w:color w:val="FF0000"/>
          <w:sz w:val="24"/>
        </w:rPr>
        <w:t>[[</w:t>
      </w:r>
      <w:r>
        <w:rPr>
          <w:sz w:val="24"/>
        </w:rPr>
        <w:t>it</w:t>
      </w:r>
      <w:r>
        <w:rPr>
          <w:b/>
          <w:color w:val="FF0000"/>
          <w:sz w:val="24"/>
        </w:rPr>
        <w:t>]</w:t>
      </w:r>
      <w:r>
        <w:rPr>
          <w:sz w:val="24"/>
        </w:rPr>
        <w:t xml:space="preserve"> </w:t>
      </w:r>
      <w:r>
        <w:rPr>
          <w:b/>
          <w:color w:val="FF0000"/>
          <w:sz w:val="24"/>
        </w:rPr>
        <w:t>[</w:t>
      </w:r>
      <w:r>
        <w:rPr>
          <w:sz w:val="24"/>
        </w:rPr>
        <w:t>its Guarantor</w:t>
      </w:r>
      <w:r>
        <w:rPr>
          <w:b/>
          <w:color w:val="FF0000"/>
          <w:sz w:val="24"/>
        </w:rPr>
        <w:t>]</w:t>
      </w:r>
      <w:r>
        <w:rPr>
          <w:sz w:val="24"/>
        </w:rPr>
        <w:t xml:space="preserve"> has a Credit Rating from ___________ and the lowest Credit Rating for </w:t>
      </w:r>
      <w:r>
        <w:rPr>
          <w:b/>
          <w:color w:val="FF0000"/>
          <w:sz w:val="24"/>
        </w:rPr>
        <w:t>[</w:t>
      </w:r>
      <w:r>
        <w:rPr>
          <w:sz w:val="24"/>
        </w:rPr>
        <w:t>it</w:t>
      </w:r>
      <w:r>
        <w:rPr>
          <w:b/>
          <w:color w:val="FF0000"/>
          <w:sz w:val="24"/>
        </w:rPr>
        <w:t>]</w:t>
      </w:r>
      <w:r>
        <w:rPr>
          <w:sz w:val="24"/>
        </w:rPr>
        <w:t xml:space="preserve"> </w:t>
      </w:r>
      <w:r>
        <w:rPr>
          <w:b/>
          <w:color w:val="FF0000"/>
          <w:sz w:val="24"/>
        </w:rPr>
        <w:t>[</w:t>
      </w:r>
      <w:r>
        <w:rPr>
          <w:sz w:val="24"/>
        </w:rPr>
        <w:t>its Guarantor</w:t>
      </w:r>
      <w:r>
        <w:rPr>
          <w:b/>
          <w:color w:val="FF0000"/>
          <w:sz w:val="24"/>
        </w:rPr>
        <w:t>]</w:t>
      </w:r>
      <w:r>
        <w:rPr>
          <w:sz w:val="24"/>
        </w:rPr>
        <w:t xml:space="preserve"> is "___" or higher by _____________, </w:t>
      </w:r>
      <w:r>
        <w:rPr>
          <w:color w:val="000000"/>
          <w:sz w:val="24"/>
        </w:rPr>
        <w:t xml:space="preserve">and </w:t>
      </w:r>
      <w:r>
        <w:rPr>
          <w:sz w:val="24"/>
        </w:rPr>
        <w:t>(3) Cash shall be held only in any jurisdiction within the United States.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24"/>
        </w:rPr>
        <w:tab/>
        <w:t>Upon notice by the Exposed Party to the Non-Exposed Party of the appointment of a Custodian, the Non-Exposed Party's obligations to make any Transfer will be discharged by making the Transfer to that Custodian.  The holding of Cash by a Custodian will be deemed to be the holding of Cash by the Exposed Party for which the Custodian is acting.  If the Exposed Party or its Custodian fails to satisfy any conditions for holding Cash as set forth above, then the Exposed Party will Transfer, or cause its Custodian to Transfer, the Cash to a Qualified Institution and the Cash shall be maintained in accordance with Sections 6(a)(iii)(2), with the Party not eligible to hold Cash being considered the "</w:t>
      </w:r>
      <w:r>
        <w:rPr>
          <w:rFonts w:cs="Times New Roman" w:ascii="Times New Roman" w:hAnsi="Times New Roman"/>
          <w:sz w:val="24"/>
          <w:u w:val="single"/>
        </w:rPr>
        <w:t>Downgraded Party</w:t>
      </w:r>
      <w:r>
        <w:rPr>
          <w:rFonts w:cs="Times New Roman" w:ascii="Times New Roman" w:hAnsi="Times New Roman"/>
          <w:sz w:val="24"/>
        </w:rPr>
        <w:t xml:space="preserve">" (as defined below).  The Exposed Party will be liable for the acts or omissions of its Custodian to the same extent that the Exposed Party would be liable hereunder for its own acts or omissions.  </w:t>
      </w:r>
      <w:r>
        <w:rPr>
          <w:rFonts w:cs="Times New Roman" w:ascii="Times New Roman" w:hAnsi="Times New Roman"/>
          <w:b/>
          <w:sz w:val="24"/>
        </w:rPr>
        <w:t>[Discuss whether a Custodian should always be required to hold collateral per Virginia Power’s comments]</w:t>
      </w:r>
    </w:p>
    <w:p>
      <w:pPr>
        <w:pStyle w:val="Normal"/>
        <w:spacing w:before="240" w:after="0"/>
        <w:ind w:firstLine="720" w:end="0"/>
        <w:jc w:val="both"/>
        <w:rPr/>
      </w:pPr>
      <w:r>
        <w:rPr>
          <w:b/>
          <w:bCs/>
          <w:sz w:val="24"/>
        </w:rPr>
        <w:t>[</w:t>
      </w:r>
      <w:r>
        <w:rPr>
          <w:sz w:val="24"/>
        </w:rPr>
        <w:t xml:space="preserve">(iii)  </w:t>
      </w:r>
      <w:r>
        <w:rPr>
          <w:sz w:val="24"/>
          <w:u w:val="single"/>
        </w:rPr>
        <w:t>Use of Cash</w:t>
      </w:r>
      <w:r>
        <w:rPr>
          <w:sz w:val="24"/>
        </w:rPr>
        <w:t xml:space="preserve">.  Notwithstanding the provisions of applicable law, if no Event of Default has occurred and is continuing with respect to the Exposed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 </w:t>
      </w:r>
      <w:r>
        <w:rPr>
          <w:sz w:val="24"/>
          <w:u w:val="single"/>
        </w:rPr>
        <w:t>provided, however</w:t>
      </w:r>
      <w:r>
        <w:rPr>
          <w:sz w:val="24"/>
        </w:rPr>
        <w:t>, that if a Party or its Custodian is not eligible to hold Cash pursuant to Section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(1)   the provisions of this Section 6(a)(iii) will not apply with respect to the Downgraded Party; and</w:t>
      </w:r>
    </w:p>
    <w:p>
      <w:pPr>
        <w:pStyle w:val="Normal"/>
        <w:spacing w:before="240" w:after="0"/>
        <w:ind w:start="360" w:end="0"/>
        <w:jc w:val="both"/>
        <w:rPr/>
      </w:pPr>
      <w:r>
        <w:rPr>
          <w:sz w:val="24"/>
        </w:rPr>
        <w:t>(2)   the Downgraded Party shall be required to deliver (or cause to be delivered) not later than the close of business on the second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Non-Exposed Party, subject to the approval of such instructions by the Exposed Party (which approval shall not be unreasonably withheld), provided that the Qualified Institution shall not be required to so invest or reinvest or procure such investment or reinvestment if an Event of Default or Potential Event of Default with respect to the Non-Exposed Party shall have occurred and be continuing.  The Exposed Party shall have no responsibility for any losses resulting from any investment or reinvestment effected in accordance with the Non-Exposed Party's instructions</w:t>
      </w:r>
      <w:r>
        <w:rPr>
          <w:b/>
          <w:bCs/>
          <w:sz w:val="24"/>
        </w:rPr>
        <w:t>.][Discuss use of Cash per Virginia Power’s comments]</w:t>
      </w:r>
    </w:p>
    <w:p>
      <w:pPr>
        <w:pStyle w:val="Normal"/>
        <w:tabs>
          <w:tab w:val="clear" w:pos="720"/>
          <w:tab w:val="left" w:pos="0" w:leader="none"/>
        </w:tabs>
        <w:suppressAutoHyphens w:val="true"/>
        <w:jc w:val="both"/>
        <w:rPr>
          <w:b/>
          <w:bCs/>
          <w:sz w:val="24"/>
        </w:rPr>
      </w:pPr>
      <w:r>
        <w:rPr>
          <w:b/>
          <w:bCs/>
          <w:sz w:val="24"/>
        </w:rPr>
      </w:r>
    </w:p>
    <w:p>
      <w:pPr>
        <w:pStyle w:val="Normal"/>
        <w:spacing w:before="240" w:after="0"/>
        <w:ind w:firstLine="720" w:end="0"/>
        <w:jc w:val="both"/>
        <w:rPr/>
      </w:pPr>
      <w:r>
        <w:rPr>
          <w:b/>
          <w:sz w:val="24"/>
        </w:rPr>
        <w:t>[</w:t>
      </w:r>
      <w:r>
        <w:rPr>
          <w:sz w:val="24"/>
        </w:rPr>
        <w:t xml:space="preserve">(iv)  </w:t>
      </w:r>
      <w:r>
        <w:rPr>
          <w:sz w:val="24"/>
          <w:u w:val="single"/>
        </w:rPr>
        <w:t>Interest Payments on Cash</w:t>
      </w:r>
      <w:r>
        <w:rPr>
          <w:sz w:val="24"/>
        </w:rPr>
        <w:t>.  (i) So long as no Event of Default or  Potential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Cash (all of which may be retained by the Exposed Party), the Interest Amount on the last Business Day of each calendar month.  On or after the occurrence of a Potential Event of Default or an Event of Default with respect to the Non-Exposed Party or an Early Termination Date as a result of an Event of Default with respect to the Non-Exposed Party, the Exposed Party shall retain any such Interest Amount as additional Performance Assurance hereunder until the obligations of the Non-Exposed Party under the Agreement have been satisfied in the case of an Early Termination Date or for so long as such Event of Default is continuing in the case of an Event of Default</w:t>
      </w:r>
      <w:r>
        <w:rPr>
          <w:b/>
          <w:bCs/>
          <w:sz w:val="24"/>
        </w:rPr>
        <w:t>.][Discuss whether the payment of interest should be elective per AEP’s comments]</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 xml:space="preserve">(i)  Unless otherwise agreed in writing by the parties, each Letter of Credit shall be provided in accordance with Section 4,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w:t>
      </w:r>
      <w:r>
        <w:rPr>
          <w:b/>
          <w:bCs/>
          <w:sz w:val="24"/>
        </w:rPr>
        <w:t>[</w:t>
      </w:r>
      <w:r>
        <w:rPr>
          <w:sz w:val="24"/>
        </w:rPr>
        <w:t>twenty (20)</w:t>
      </w:r>
      <w:r>
        <w:rPr>
          <w:b/>
          <w:bCs/>
          <w:sz w:val="24"/>
        </w:rPr>
        <w:t>]</w:t>
      </w:r>
      <w:r>
        <w:rPr>
          <w:sz w:val="24"/>
        </w:rPr>
        <w:t xml:space="preserve"> Business Days prior to the expiration of the outstanding Letter of Credit, and (iii) if a bank issuing a Letter of Credit shall fail to honor the Exposed Party's properly documented request to draw on an outstanding Letter of Credit</w:t>
      </w:r>
      <w:r>
        <w:rPr>
          <w:bCs/>
          <w:sz w:val="24"/>
        </w:rPr>
        <w:t xml:space="preserve">, provide for the benefit of the Exposed Party either a substitute Letter of Credit that is issued by a bank acceptable to the Exposed Party or other Eligible Collateral, in each case within </w:t>
      </w:r>
      <w:r>
        <w:rPr>
          <w:b/>
          <w:sz w:val="24"/>
        </w:rPr>
        <w:t>[</w:t>
      </w:r>
      <w:r>
        <w:rPr>
          <w:bCs/>
          <w:sz w:val="24"/>
        </w:rPr>
        <w:t>three (3)</w:t>
      </w:r>
      <w:r>
        <w:rPr>
          <w:b/>
          <w:sz w:val="24"/>
        </w:rPr>
        <w:t>]</w:t>
      </w:r>
      <w:r>
        <w:rPr>
          <w:bCs/>
          <w:sz w:val="24"/>
        </w:rPr>
        <w:t xml:space="preserve"> Business Days after such refusal, provided that, as a result of the Non-Exposed Party's failure to perform in accordance with (i), (ii), or (iii) above, the Non-Exposed Party's Collateral Requirement would be greater than zero.</w:t>
      </w:r>
    </w:p>
    <w:p>
      <w:pPr>
        <w:pStyle w:val="Normal"/>
        <w:spacing w:before="240" w:after="0"/>
        <w:ind w:firstLine="360" w:end="0"/>
        <w:jc w:val="both"/>
        <w:rPr>
          <w:sz w:val="24"/>
        </w:rPr>
      </w:pPr>
      <w:r>
        <w:rPr>
          <w:sz w:val="24"/>
        </w:rPr>
        <w:t>(ii)  As one method of providing Performance Assurance, the Non-Exposed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pPr>
      <w:r>
        <w:rPr>
          <w:sz w:val="24"/>
        </w:rPr>
        <w:t xml:space="preserve">(iii)  Upon the occurrence of a Letter of Credit Default, the Non-Exposed Party agrees to deliver to the Exposed Party either a substitute Letter of Credit or other Eligible Collateral, in each case on or before the </w:t>
      </w:r>
      <w:r>
        <w:rPr>
          <w:b/>
          <w:sz w:val="24"/>
        </w:rPr>
        <w:t>[</w:t>
      </w:r>
      <w:r>
        <w:rPr>
          <w:sz w:val="24"/>
        </w:rPr>
        <w:t>third</w:t>
      </w:r>
      <w:r>
        <w:rPr>
          <w:b/>
          <w:sz w:val="24"/>
        </w:rPr>
        <w:t>]</w:t>
      </w:r>
      <w:r>
        <w:rPr>
          <w:sz w:val="24"/>
        </w:rPr>
        <w:t xml:space="preserve"> Business Day after the occurrence thereof (or the fifth (5th) Business Day after the occurrence thereof if only clause (i)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(1) Upon or at any time after the occurrence and continuation of an Event of Default with respect to the Non-Exposed Party, (2) or if an Early Termination Date has occurred or been designated as a result of an Event of Default with respect to the Non-Exposed Party, or (3) if there are </w:t>
      </w:r>
      <w:r>
        <w:rPr>
          <w:b/>
          <w:bCs/>
          <w:sz w:val="24"/>
        </w:rPr>
        <w:t>[</w:t>
      </w:r>
      <w:r>
        <w:rPr>
          <w:sz w:val="24"/>
        </w:rPr>
        <w:t>twenty (20)</w:t>
      </w:r>
      <w:r>
        <w:rPr>
          <w:b/>
          <w:bCs/>
          <w:sz w:val="24"/>
        </w:rPr>
        <w:t xml:space="preserve">] </w:t>
      </w:r>
      <w:r>
        <w:rPr>
          <w:sz w:val="24"/>
        </w:rPr>
        <w:t xml:space="preserve">or fewer Business Days until the expiration of the Letter of Credit, then </w:t>
      </w:r>
      <w:r>
        <w:rPr>
          <w:sz w:val="24"/>
          <w:szCs w:val="24"/>
        </w:rPr>
        <w:t>the Exposed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Non-Exposed Party’s obligations to the Exposed Party and the Exposed Party shall have the rights and remedies set forth in Section 7 with respect to such cash proceeds.  Notwithstanding the Exposed Party’s receipt of Cash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Beyond the exercise of reasonable care in the custody thereof, the Exposed Party shall have no duty as to any Performance Assurance in its possession or control or in the possession or control of any Custodian or any income thereon or as to the preservation of rights against prior parties or any other rights pertaining thereto. The Exposed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Exposed Party in good faith except to the extent such loss or damage is the result of such agent's willful misconduct or negligence.  Unless held by a Custodian, the Exposed Party shall at all times retain possession or control of any Performance Assurance delivered to it.  The holding of Performance Assurance by a Custodian for the benefit of the Exposed Party shall be deemed to be the holding and possession of such Performance Assurance by the Exposed Party for the purpose of perfecting the security interest in the Performance Assurance.  Nothing in this Collateral Annex shall be construed as requiring the Exposed Party to select a Custodian for the keeping of Performance Assurance for the benefit of the Exposed Party.</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Non-Exposed Party has occurred and is continuing or (ii) an Early Termination Date has occurred or been designated as a result of an Event of Default with respect to the Non-Exposed Party, the Exposed Party may exercise any one or more of the rights and remedies provided under the Agreement, in this Collateral Annex or as otherwise available under applicable law.  Without limiting the foregoing, if at any time (i) an Event of Default with respect to the Non-Exposed Party has occurred and is continuing, or (ii) an Early Termination Date occurs or is deemed to occur as a result of an Event of Default with respect to the Non-Exposed Party, then the Exposed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Exposed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Exposed Party against and in satisfaction of any amount payable by the Non-Exposed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Exposed Party through one or more public or private sales or other dispositions with such notice, if any, as may be required by applicable law, free from any claim or right of any nature whatsoever of the Non-Exposed Party, including any right of equity or redemption by the Non-Exposed Party (with the Exposed Party having the right to purchase any or all of the Performance Assurance to be sold) and to apply the proceeds from the liquidation of such Performance Assurance to and in satisfaction of any amount payable by the Non-Exposed Party in respect of any of its Obligations in such order as the Exposed Party may elect.</w:t>
      </w:r>
    </w:p>
    <w:p>
      <w:pPr>
        <w:pStyle w:val="PASSParawIndent"/>
        <w:rPr>
          <w:rFonts w:ascii="Times New Roman" w:hAnsi="Times New Roman" w:cs="Times New Roman"/>
          <w:sz w:val="24"/>
        </w:rPr>
      </w:pPr>
      <w:r>
        <w:rPr>
          <w:rFonts w:cs="Times New Roman" w:ascii="Times New Roman" w:hAnsi="Times New Roman"/>
          <w:sz w:val="24"/>
        </w:rPr>
        <w:t>(b)</w:t>
        <w:tab/>
        <w:t>The Non-Exposed Party hereby irrevocably constitutes and appoints the Exposed Party and any officer or agent thereof, with full power of substitution, as the Non-Exposed Party’s true and lawful attorney-in-fact with full irrevocable power and authority to act in the name, place and stead of the Non-Exposed Party or in the Exposed Party’s own name, from time to time in the Exposed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Exposed Party shall be under no obligation to prioritize the order with respect to which it exercises any one or more of its rights and remedies provided under the Agreement or as otherwise available under applicable law.  The Non-Exposed Party shall in all events remain liable to the Exposed Party for any amount payable by the Non-Exposed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If at any time (i) an Event of Default with respect to the Exposed Party has occurred and is continuing or (ii) an Early Termination Date has occurred or been designated as a result of an Event of Default with respect to the Exposed Party, then:</w:t>
      </w:r>
    </w:p>
    <w:p>
      <w:pPr>
        <w:pStyle w:val="Normal"/>
        <w:spacing w:before="240" w:after="0"/>
        <w:ind w:start="360" w:end="0"/>
        <w:jc w:val="both"/>
        <w:rPr>
          <w:sz w:val="24"/>
        </w:rPr>
      </w:pPr>
      <w:r>
        <w:rPr>
          <w:sz w:val="24"/>
        </w:rPr>
        <w:t xml:space="preserve">(1)  the Exposed Party will be obligated immediately to Transfer all Performance Assurance (including any Letter of Credit) and the Interest Amount, if any, to the Non-Exposed Party; </w:t>
      </w:r>
    </w:p>
    <w:p>
      <w:pPr>
        <w:pStyle w:val="BodyTextIndent3"/>
        <w:rPr/>
      </w:pPr>
      <w:r>
        <w:rPr/>
        <w:t>(2)  the Non-Exposed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held by the Exposed Party, until the Performance Assurance is Transferred to the Non-Exposed Party; and (z) exercise rights and remedies available to the Non-Exposed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Exposed Party shall be prohibited from drawing on any Letter of Credit that has been posted by the Non-Exposed Party for the Exposed Party’s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numPr>
          <w:ilvl w:val="0"/>
          <w:numId w:val="2"/>
        </w:numPr>
        <w:tabs>
          <w:tab w:val="clear" w:pos="720"/>
          <w:tab w:val="left" w:pos="-1080" w:leader="none"/>
        </w:tabs>
        <w:suppressAutoHyphens w:val="true"/>
        <w:ind w:hanging="720" w:start="720" w:end="0"/>
        <w:jc w:val="both"/>
        <w:rPr>
          <w:sz w:val="24"/>
          <w:u w:val="single"/>
        </w:rPr>
      </w:pP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Non-Exposed Party shall dispute the amount of Performance Assurance requested by the Exposed Party and such dispute relates to the amount of the Net Exposure claimed by the Exposed Party, then the Non-Exposed Party shall </w:t>
      </w:r>
      <w:r>
        <w:rPr>
          <w:bCs/>
          <w:sz w:val="24"/>
        </w:rPr>
        <w:t xml:space="preserve">(i) notify the Exposed Party of the existence and nature of the dispute not later than the Notification Time on the </w:t>
      </w:r>
      <w:r>
        <w:rPr>
          <w:b/>
          <w:bCs/>
          <w:sz w:val="24"/>
        </w:rPr>
        <w:t>[</w:t>
      </w:r>
      <w:r>
        <w:rPr>
          <w:bCs/>
          <w:sz w:val="24"/>
        </w:rPr>
        <w:t>first</w:t>
      </w:r>
      <w:r>
        <w:rPr>
          <w:b/>
          <w:bCs/>
          <w:sz w:val="24"/>
        </w:rPr>
        <w:t>]</w:t>
      </w:r>
      <w:r>
        <w:rPr>
          <w:bCs/>
          <w:sz w:val="24"/>
        </w:rPr>
        <w:t xml:space="preserve"> Business Day following the date that the demand is made by the Exposed Party,</w:t>
      </w:r>
      <w:r>
        <w:rPr>
          <w:sz w:val="24"/>
        </w:rPr>
        <w:t xml:space="preserve"> and (ii) provide Performance Assurance to or for the benefit of the Exposed Party in an amount equal to the Non-Exposed Party's own estimate, made in good faith and in a commercially reasonable manner, of its Collateral Requirement in accordance with Section 2.  In all such cases, the parties thereafter shall promptly consult with each other in order to reconcile the two conflicting amounts.  </w:t>
      </w:r>
      <w:r>
        <w:rPr>
          <w:bCs/>
          <w:sz w:val="24"/>
        </w:rPr>
        <w:t xml:space="preserve">If the parties have not been able to resolve their dispute on or before the </w:t>
      </w:r>
      <w:r>
        <w:rPr>
          <w:b/>
          <w:bCs/>
          <w:sz w:val="24"/>
        </w:rPr>
        <w:t>[</w:t>
      </w:r>
      <w:r>
        <w:rPr>
          <w:bCs/>
          <w:sz w:val="24"/>
        </w:rPr>
        <w:t>third</w:t>
      </w:r>
      <w:r>
        <w:rPr>
          <w:b/>
          <w:bCs/>
          <w:sz w:val="24"/>
        </w:rPr>
        <w:t>]</w:t>
      </w:r>
      <w:r>
        <w:rPr>
          <w:bCs/>
          <w:sz w:val="24"/>
        </w:rPr>
        <w:t xml:space="preserve"> Business Day following the date that the demand is made by the Exposed Party, then the Exposed Party shall recalculate its Net Exposure by requesting quotations from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Exposed Party shall inform the Non-Exposed Party of the results of such recalculation (in reasonable detail).</w:t>
      </w:r>
      <w:r>
        <w:rPr>
          <w:sz w:val="24"/>
        </w:rPr>
        <w:t xml:space="preserve">  Performance Assurance shall thereupon be provided, returned, or reduced, if necessary, in accordance with the results of such recalculation.</w:t>
      </w:r>
    </w:p>
    <w:p>
      <w:pPr>
        <w:pStyle w:val="Normal"/>
        <w:spacing w:before="240" w:after="0"/>
        <w:ind w:firstLine="360" w:end="0"/>
        <w:jc w:val="both"/>
        <w:rPr/>
      </w:pPr>
      <w:r>
        <w:rPr>
          <w:sz w:val="24"/>
        </w:rPr>
        <w:t xml:space="preserve">(b)  If the Non-Requesting Party shall dispute the amount of Performance Assurance to be reduced by the Non-Requesting Party and such dispute relates to the amount of the Net Exposure claimed by the Non-Requesting Party, then the Non-Requesting Party shall (i) </w:t>
      </w:r>
      <w:r>
        <w:rPr>
          <w:bCs/>
          <w:sz w:val="24"/>
        </w:rPr>
        <w:t xml:space="preserve">notify the Requesting Party of the existence and nature of the dispute not later than the Notification Time on the </w:t>
      </w:r>
      <w:r>
        <w:rPr>
          <w:b/>
          <w:bCs/>
          <w:sz w:val="24"/>
        </w:rPr>
        <w:t>[</w:t>
      </w:r>
      <w:r>
        <w:rPr>
          <w:bCs/>
          <w:sz w:val="24"/>
        </w:rPr>
        <w:t>first</w:t>
      </w:r>
      <w:r>
        <w:rPr>
          <w:b/>
          <w:bCs/>
          <w:sz w:val="24"/>
        </w:rPr>
        <w:t>]</w:t>
      </w:r>
      <w:r>
        <w:rPr>
          <w:bCs/>
          <w:sz w:val="24"/>
        </w:rPr>
        <w:t xml:space="preserve">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the Requesting Party’s Collateral Requirement not later than the close of business on the </w:t>
      </w:r>
      <w:r>
        <w:rPr>
          <w:b/>
          <w:bCs/>
          <w:sz w:val="24"/>
        </w:rPr>
        <w:t>[</w:t>
      </w:r>
      <w:r>
        <w:rPr>
          <w:bCs/>
          <w:sz w:val="24"/>
        </w:rPr>
        <w:t>second</w:t>
      </w:r>
      <w:r>
        <w:rPr>
          <w:b/>
          <w:bCs/>
          <w:sz w:val="24"/>
        </w:rPr>
        <w:t>]</w:t>
      </w:r>
      <w:r>
        <w:rPr>
          <w:bCs/>
          <w:sz w:val="24"/>
        </w:rPr>
        <w:t xml:space="preserve"> Business Day following the date that the demand is made by the Requesting Party</w:t>
      </w:r>
      <w:r>
        <w:rPr>
          <w:sz w:val="24"/>
        </w:rPr>
        <w:t xml:space="preserve">.  In all such cases, the parties thereafter shall promptly consult with each other in order to reconcile the two conflicting amounts.  </w:t>
      </w:r>
      <w:r>
        <w:rPr>
          <w:bCs/>
          <w:sz w:val="24"/>
        </w:rPr>
        <w:t xml:space="preserve">If the parties have not been able to resolve their dispute on or before the </w:t>
      </w:r>
      <w:r>
        <w:rPr>
          <w:b/>
          <w:bCs/>
          <w:sz w:val="24"/>
        </w:rPr>
        <w:t>[</w:t>
      </w:r>
      <w:r>
        <w:rPr>
          <w:bCs/>
          <w:sz w:val="24"/>
        </w:rPr>
        <w:t>third</w:t>
      </w:r>
      <w:r>
        <w:rPr>
          <w:b/>
          <w:bCs/>
          <w:sz w:val="24"/>
        </w:rPr>
        <w:t>]</w:t>
      </w:r>
      <w:r>
        <w:rPr>
          <w:bCs/>
          <w:sz w:val="24"/>
        </w:rPr>
        <w:t xml:space="preserve"> Business Day following the date that the demand is made by the Requesting Party, then the Non-Requesting Party shall recalculate its Net Exposure by requesting quotations from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Non-Requesting Party shall inform the Requesting Party of the results of such recalculation (in reasonable detail).</w:t>
      </w:r>
      <w:r>
        <w:rPr>
          <w:sz w:val="24"/>
        </w:rPr>
        <w:t xml:space="preserve">  Performance Assurance shall thereupon be provided, returned, or reduced, if necessary, in accordance with the results of such recalculation.  </w:t>
      </w:r>
      <w:r>
        <w:rPr>
          <w:b/>
          <w:sz w:val="24"/>
        </w:rPr>
        <w:t>[Discuss generally time periods and procedures for resolving calculation disputes]</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Non-Exposed Party will execute and deliver to the Exposed Party (and to the extent permitted by applicable law, the Non-Exposed Party hereby authorizes the Exposed Party to execute and deliver, in the name of the Non-Exposed Party or otherwise) such financing statements, assignments and other documents and do such other things relating to the Performance Assurance and the security interest granted under this Collateral Annex including any action the Exposed Party may deem necessary or appropriate to perfect or maintain perfection of its security interest in the Performance Assurance, and the Non-Exposed Party shall pay all costs relating thereto.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Exposed Party and/or its Custodian under the Agreement and this Collateral Annex, the Non-Exposed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Non-Exposed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Non-Exposed Party to the Exposed Party and/or its  Custodian, the Exposed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Exposed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Non-Exposed Party shall pay on request and indemnify the Exposed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BodyTextIndent2"/>
        <w:spacing w:before="0" w:after="0"/>
        <w:rPr>
          <w:rFonts w:ascii="Times New Roman" w:hAnsi="Times New Roman" w:cs="Times New Roman"/>
          <w:sz w:val="24"/>
          <w:szCs w:val="24"/>
        </w:rPr>
      </w:pPr>
      <w:r>
        <w:rPr>
          <w:rFonts w:cs="Times New Roman" w:ascii="Times New Roman" w:hAnsi="Times New Roman"/>
          <w:sz w:val="24"/>
          <w:szCs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tabs>
          <w:tab w:val="clear" w:pos="720"/>
          <w:tab w:val="left" w:pos="360" w:leader="none"/>
        </w:tabs>
        <w:ind w:hanging="360" w:start="720" w:end="0"/>
        <w:jc w:val="both"/>
        <w:rPr>
          <w:sz w:val="24"/>
        </w:rPr>
      </w:pPr>
      <w:r>
        <w:rPr>
          <w:sz w:val="24"/>
        </w:rPr>
      </w:r>
    </w:p>
    <w:p>
      <w:pPr>
        <w:pStyle w:val="Normal"/>
        <w:ind w:start="360" w:end="0"/>
        <w:jc w:val="both"/>
        <w:rPr>
          <w:sz w:val="24"/>
        </w:rPr>
      </w:pPr>
      <w:r>
        <w:rPr>
          <w:sz w:val="24"/>
        </w:rPr>
        <w:t>3.</w:t>
        <w:tab/>
        <w:t>“Twenty or fewer Business Days remain until the expiration of the Letter of Credit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/mnt/main-storage/datasets/enron-docs/doc/Morgan_Stanley_EEI_Collateral_Annex_Revised.doc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8:57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8"/>
      <w:numFmt w:val="decimal"/>
      <w:lvlText w:val="%1."/>
      <w:lvlJc w:val="start"/>
      <w:pPr>
        <w:tabs>
          <w:tab w:val="num" w:pos="360"/>
        </w:tabs>
        <w:ind w:start="36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2001-07-06T18:07:00Z</dcterms:created>
  <dc:creator>formosos</dc:creator>
  <dc:description/>
  <dc:language>en-CA</dc:language>
  <cp:lastModifiedBy>cstclai</cp:lastModifiedBy>
  <cp:lastPrinted>2001-07-18T14:49:00Z</cp:lastPrinted>
  <dcterms:modified xsi:type="dcterms:W3CDTF">2001-07-18T17:20:00Z</dcterms:modified>
  <cp:revision>14</cp:revision>
  <dc:subject/>
  <dc:title>COLLATERAL ANNEX</dc:title>
</cp:coreProperties>
</file>