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May 5,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Morgan Stanley &amp; Co., Inc.</w:t>
      </w:r>
    </w:p>
    <w:p>
      <w:pPr>
        <w:pStyle w:val="Normal"/>
        <w:jc w:val="both"/>
        <w:rPr>
          <w:rFonts w:ascii="Times New Roman" w:hAnsi="Times New Roman" w:cs="Times New Roman"/>
          <w:sz w:val="22"/>
        </w:rPr>
      </w:pPr>
      <w:r>
        <w:rPr>
          <w:rFonts w:cs="Times New Roman" w:ascii="Times New Roman" w:hAnsi="Times New Roman"/>
          <w:sz w:val="22"/>
        </w:rPr>
        <w:t>1585 Broadway</w:t>
      </w:r>
    </w:p>
    <w:p>
      <w:pPr>
        <w:pStyle w:val="Normal"/>
        <w:jc w:val="both"/>
        <w:rPr>
          <w:rFonts w:ascii="Times New Roman" w:hAnsi="Times New Roman" w:cs="Times New Roman"/>
          <w:sz w:val="22"/>
        </w:rPr>
      </w:pPr>
      <w:r>
        <w:rPr>
          <w:rFonts w:cs="Times New Roman" w:ascii="Times New Roman" w:hAnsi="Times New Roman"/>
          <w:sz w:val="22"/>
        </w:rPr>
        <w:t>New York, NY  10036-8293</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Morgan Stanley &amp; Co., Inc. ("MSC") and Enron Net Works LLC ("ENW") are prepared to furnish each other with information in connection with the raising of capital for ENW projects (the "Transaction"), which information is confidential or otherwise generally not available to the public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_______________________________________</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Morgan Stanley &amp; Co., Inc.</w:t>
    </w:r>
  </w:p>
  <w:p>
    <w:pPr>
      <w:pStyle w:val="Header"/>
      <w:rPr>
        <w:rFonts w:ascii="Times New Roman" w:hAnsi="Times New Roman" w:cs="Times New Roman"/>
        <w:sz w:val="22"/>
      </w:rPr>
    </w:pPr>
    <w:r>
      <w:rPr>
        <w:rFonts w:cs="Times New Roman" w:ascii="Times New Roman" w:hAnsi="Times New Roman"/>
        <w:sz w:val="22"/>
      </w:rPr>
      <w:t>May 5, 2000</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2000-05-04T20:56:00Z</dcterms:created>
  <dc:creator>ECT</dc:creator>
  <dc:description/>
  <dc:language>en-CA</dc:language>
  <cp:lastModifiedBy>jelbert</cp:lastModifiedBy>
  <cp:lastPrinted>2000-05-04T18:54:00Z</cp:lastPrinted>
  <dcterms:modified xsi:type="dcterms:W3CDTF">2000-05-05T11:46:00Z</dcterms:modified>
  <cp:revision>6</cp:revision>
  <dc:subject/>
  <dc:title>Reciprocal Confidentiality Agreement</dc:title>
</cp:coreProperties>
</file>