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 is made as of the following date: 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right" w:pos="4320" w:leader="none"/>
              </w:tabs>
              <w:spacing w:before="0" w:after="120"/>
              <w:rPr/>
            </w:pPr>
            <w:r>
              <w:rPr>
                <w:b/>
                <w:bCs/>
                <w:sz w:val="20"/>
              </w:rPr>
              <w:t>Name:</w:t>
            </w:r>
            <w:r>
              <w:rPr>
                <w:sz w:val="20"/>
              </w:rPr>
              <w:t xml:space="preserve"> ("Enron Power Marketing, Inc." or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("Morgan Stanley Capital Group, Inc."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Street:  1585 Broadway Commodities, Floor 4</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New York, NY</w:t>
              <w:tab/>
              <w:t>Zip:  10036</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Phone:  (212) 761-5920</w:t>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r>
              <w:rPr/>
              <w:t>■</w:t>
            </w:r>
            <w:r>
              <w:rPr>
                <w:rFonts w:cs="Times New Roman" w:ascii="Times New Roman" w:hAnsi="Times New Roman"/>
                <w:szCs w:val="24"/>
              </w:rPr>
              <w:t xml:space="preserve">  </w:t>
            </w:r>
            <w:r>
              <w:rPr>
                <w:rFonts w:cs="Times New Roman" w:ascii="Times New Roman" w:hAnsi="Times New Roman"/>
                <w:szCs w:val="24"/>
              </w:rPr>
              <w:t>Other Entity: Morgan Stanley Dean Witter &amp; Co.</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pPr>
            <w:r>
              <w:rPr>
                <w:rFonts w:cs="Times New Roman" w:ascii="Times New Roman" w:hAnsi="Times New Roman"/>
                <w:szCs w:val="24"/>
              </w:rPr>
              <w:t>Cross Default Amount $100,000,000.00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Morgan Stanley Dean Witter &amp; Co.</w:t>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B Collateral Threshold:  $15,000,000.00;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 Guarantor's Credit Rating falls below BBB- from S&amp;P or  Baa3 from Moody's or if  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Morgan Stanley Dean Witter &amp; Co.</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$100,000,000.00</w:t>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A Collateral Threshold: $15,000,000.00;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$100,000,000.00</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4"/>
        </w:numPr>
        <w:tabs>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4"/>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4"/>
        </w:numPr>
        <w:tabs>
          <w:tab w:val="clear" w:pos="720"/>
          <w:tab w:val="left" w:pos="360" w:leader="none"/>
          <w:tab w:val="left" w:pos="900" w:leader="none"/>
        </w:tabs>
        <w:spacing w:before="0" w:after="120"/>
        <w:ind w:hanging="0" w:start="360" w:end="0"/>
        <w:rPr>
          <w:szCs w:val="24"/>
        </w:rPr>
      </w:pPr>
      <w:r>
        <w:rPr>
          <w:szCs w:val="24"/>
        </w:rPr>
        <w:t>Section 1.53 is amended to (i) delete the phrase "at the Delivery Point" from the second line and (ii) delete the phrase "at Seller's option" from the fifth line and replace it with the following:  "absent a sale, assuming a sale could have been made in a commercially reasonable manner"</w:t>
      </w:r>
    </w:p>
    <w:p>
      <w:pPr>
        <w:pStyle w:val="Normal"/>
        <w:autoSpaceDE w:val="false"/>
        <w:spacing w:lineRule="atLeast" w:line="240"/>
        <w:rPr/>
      </w:pPr>
      <w:r>
        <w:rPr>
          <w:sz w:val="20"/>
        </w:rPr>
        <w:t xml:space="preserve">(b)  </w:t>
      </w:r>
      <w:r>
        <w:rPr>
          <w:b/>
          <w:bCs/>
          <w:sz w:val="20"/>
        </w:rPr>
        <w:t>Prior Transactions.</w:t>
      </w:r>
      <w:r>
        <w:rPr>
          <w:sz w:val="20"/>
        </w:rPr>
        <w:t xml:space="preserve">  The following is added as a separate second paragraph of Section 2.2:</w:t>
      </w:r>
    </w:p>
    <w:p>
      <w:pPr>
        <w:pStyle w:val="Normal"/>
        <w:autoSpaceDE w:val="false"/>
        <w:spacing w:lineRule="atLeast" w:line="240"/>
        <w:rPr>
          <w:sz w:val="20"/>
        </w:rPr>
      </w:pPr>
      <w:r>
        <w:rPr>
          <w:sz w:val="20"/>
        </w:rPr>
      </w:r>
    </w:p>
    <w:p>
      <w:pPr>
        <w:pStyle w:val="Heading2"/>
        <w:numPr>
          <w:ilvl w:val="0"/>
          <w:numId w:val="14"/>
        </w:numPr>
        <w:tabs>
          <w:tab w:val="left" w:pos="360" w:leader="none"/>
        </w:tabs>
        <w:spacing w:before="0" w:after="120"/>
        <w:ind w:hanging="0" w:start="0" w:end="0"/>
        <w:rPr>
          <w:sz w:val="20"/>
        </w:rPr>
      </w:pPr>
      <w:r>
        <w:rPr>
          <w:sz w:val="20"/>
        </w:rPr>
        <w:t xml:space="preserve">"Party A and Party B confirm that this Master Agreement shall supersede and replace all prior agreements between the parties hereto with respect to the subject matter hereof, including the Master Energy Purchase and Sale Agreement dated as of July 1, 1997, as amended from time to time. Party A and Party B confirm the terms of those Transactions referenced on </w:t>
      </w:r>
      <w:r>
        <w:rPr>
          <w:sz w:val="20"/>
          <w:u w:val="single"/>
        </w:rPr>
        <w:t>Exhibit B</w:t>
      </w:r>
      <w:r>
        <w:rPr>
          <w:sz w:val="20"/>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4"/>
        </w:numPr>
        <w:tabs>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4"/>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4"/>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4"/>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4"/>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fifth sentence of Section 7.1 is amended to delete the phrase "UNLESS EXPRESSLY HEREIN PROVIDED,".</w:t>
      </w:r>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rPr>
      </w:pPr>
      <w:r>
        <w:rPr>
          <w:b/>
          <w:sz w:val="20"/>
        </w:rPr>
        <w:t>Confidentiality</w:t>
      </w:r>
      <w:r>
        <w:rPr>
          <w:sz w:val="20"/>
        </w:rPr>
        <w:t xml:space="preserve">.  Section 10.11 is amended to add the phrase "or the completed Cover Sheet to this Master Agreement" immediately before the phrase "to a third party" </w:t>
      </w:r>
      <w:r>
        <w:rPr>
          <w:color w:val="000000"/>
          <w:sz w:val="20"/>
          <w:szCs w:val="20"/>
        </w:rPr>
        <w:t>and to add the phrase "or the Party's Affiliates'" immediately after the phrase "(other than the Party's".</w:t>
      </w:r>
    </w:p>
    <w:p>
      <w:pPr>
        <w:pStyle w:val="BodyText"/>
        <w:numPr>
          <w:ilvl w:val="0"/>
          <w:numId w:val="14"/>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numPr>
          <w:ilvl w:val="0"/>
          <w:numId w:val="12"/>
        </w:numPr>
        <w:tabs>
          <w:tab w:val="clear" w:pos="720"/>
          <w:tab w:val="left" w:pos="360" w:leader="none"/>
        </w:tabs>
        <w:spacing w:before="0" w:after="120"/>
        <w:ind w:hanging="390" w:start="360" w:end="0"/>
        <w:jc w:val="both"/>
        <w:rPr>
          <w:sz w:val="20"/>
        </w:rPr>
      </w:pPr>
      <w:r>
        <w:rPr>
          <w:b/>
          <w:bCs/>
          <w:sz w:val="20"/>
        </w:rPr>
        <w:t>Index Transactions</w:t>
      </w:r>
      <w:r>
        <w:rPr>
          <w:sz w:val="20"/>
        </w:rPr>
        <w:t xml:space="preserve">.  The following provision is added as Section 10.13:  </w:t>
      </w:r>
    </w:p>
    <w:p>
      <w:pPr>
        <w:pStyle w:val="Normal"/>
        <w:numPr>
          <w:ilvl w:val="0"/>
          <w:numId w:val="13"/>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definitions are hereby added to Schedule P:</w:t>
      </w:r>
    </w:p>
    <w:p>
      <w:pPr>
        <w:pStyle w:val="BodyText2"/>
        <w:jc w:val="both"/>
        <w:rPr>
          <w:b w:val="false"/>
          <w:bCs w:val="false"/>
        </w:rPr>
      </w:pPr>
      <w:r>
        <w:rPr>
          <w:b w:val="false"/>
          <w:bCs w:val="false"/>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bCs w:val="false"/>
        </w:rPr>
      </w:pPr>
      <w:r>
        <w:rPr>
          <w:b w:val="false"/>
          <w:bCs w:val="false"/>
        </w:rPr>
      </w:r>
    </w:p>
    <w:p>
      <w:pPr>
        <w:pStyle w:val="BodyText2"/>
        <w:jc w:val="both"/>
        <w:rPr>
          <w:b w:val="false"/>
          <w:bCs w:val="false"/>
        </w:rPr>
      </w:pPr>
      <w:r>
        <w:rPr>
          <w:b w:val="false"/>
          <w:bCs w:val="false"/>
        </w:rPr>
        <w:t>"CAISO Schedule Adjustment" means a schedule change implemented by the CAISO that is neither caused by, or within the control of, either Party and that results in the CAISO applying Ex Post Pricing to all or part of the Contract Quantity.</w:t>
      </w:r>
    </w:p>
    <w:p>
      <w:pPr>
        <w:pStyle w:val="BodyText2"/>
        <w:jc w:val="both"/>
        <w:rPr>
          <w:b w:val="false"/>
          <w:bCs w:val="false"/>
        </w:rPr>
      </w:pPr>
      <w:r>
        <w:rPr>
          <w:b w:val="false"/>
          <w:bCs w:val="false"/>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Morgan Stanley Capital Group, Inc.</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2"/>
      <w:numFmt w:val="lowerLetter"/>
      <w:lvlText w:val="(%1)"/>
      <w:lvlJc w:val="start"/>
      <w:pPr>
        <w:tabs>
          <w:tab w:val="num" w:pos="750"/>
        </w:tabs>
        <w:ind w:start="750" w:hanging="390"/>
      </w:pPr>
      <w:rPr/>
    </w:lvl>
  </w:abstractNum>
  <w:abstractNum w:abstractNumId="13">
    <w:lvl w:ilvl="0">
      <w:start w:val="1"/>
      <w:numFmt w:val="lowerLetter"/>
      <w:lvlText w:val="(%1)"/>
      <w:lvlJc w:val="start"/>
      <w:pPr>
        <w:tabs>
          <w:tab w:val="num" w:pos="720"/>
        </w:tabs>
        <w:ind w:start="720" w:hanging="360"/>
      </w:pPr>
      <w:rPr/>
    </w:lvl>
  </w:abstractNum>
  <w:abstractNum w:abstractNumId="14">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tabs>
        <w:tab w:val="clear" w:pos="720"/>
      </w:tabs>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2001-01-25T20:32:00Z</dcterms:created>
  <dc:creator>jmoore2</dc:creator>
  <dc:description/>
  <dc:language>en-CA</dc:language>
  <cp:lastModifiedBy>sstack</cp:lastModifiedBy>
  <cp:lastPrinted>2000-08-22T14:27:00Z</cp:lastPrinted>
  <dcterms:modified xsi:type="dcterms:W3CDTF">2001-01-25T20:34:00Z</dcterms:modified>
  <cp:revision>3</cp:revision>
  <dc:subject/>
  <dc:title>MASTER POWER PURCHASE AND SALE AGREEMENT</dc:title>
</cp:coreProperties>
</file>