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sz w:val="22"/>
          <w:szCs w:val="22"/>
        </w:rPr>
      </w:pPr>
      <w:r>
        <w:rPr>
          <w:sz w:val="22"/>
          <w:szCs w:val="22"/>
        </w:rPr>
      </w:r>
    </w:p>
    <w:p>
      <w:pPr>
        <w:pStyle w:val="Heading2"/>
        <w:rPr>
          <w:sz w:val="22"/>
          <w:szCs w:val="22"/>
        </w:rPr>
      </w:pPr>
      <w:r>
        <w:rPr>
          <w:sz w:val="22"/>
          <w:szCs w:val="22"/>
        </w:rPr>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SECOND AMENDMENT TO</w:t>
      </w:r>
    </w:p>
    <w:p>
      <w:pPr>
        <w:pStyle w:val="Normal"/>
        <w:spacing w:before="0" w:after="240"/>
        <w:jc w:val="center"/>
        <w:rPr>
          <w:sz w:val="22"/>
          <w:szCs w:val="22"/>
        </w:rPr>
      </w:pPr>
      <w:r>
        <w:rPr>
          <w:b/>
          <w:bCs/>
          <w:sz w:val="22"/>
          <w:szCs w:val="22"/>
        </w:rPr>
        <w:t>MASTER ENERGY PURCHASE AND SALE AGREEMENT</w:t>
      </w:r>
    </w:p>
    <w:p>
      <w:pPr>
        <w:pStyle w:val="Normal"/>
        <w:jc w:val="both"/>
        <w:rPr/>
      </w:pPr>
      <w:r>
        <w:rPr>
          <w:sz w:val="22"/>
          <w:szCs w:val="22"/>
        </w:rPr>
        <w:tab/>
        <w:t xml:space="preserve">This Second Amendment to Master Energy Purchase and Sale Agreement ("Second Amendment") is made and entered into effective as of the ____ day of _________, 2001, by and between </w:t>
      </w:r>
      <w:r>
        <w:rPr>
          <w:b/>
          <w:bCs/>
          <w:sz w:val="22"/>
          <w:szCs w:val="22"/>
        </w:rPr>
        <w:t>Enron Power Marketing, Inc.</w:t>
      </w:r>
      <w:r>
        <w:rPr>
          <w:sz w:val="22"/>
          <w:szCs w:val="22"/>
        </w:rPr>
        <w:t xml:space="preserve">, a Delaware corporation ("EPMI") and </w:t>
      </w:r>
      <w:r>
        <w:rPr>
          <w:b/>
          <w:bCs/>
          <w:sz w:val="22"/>
          <w:szCs w:val="22"/>
        </w:rPr>
        <w:t>Morgan Stanley Capital Group Inc.</w:t>
      </w:r>
      <w:r>
        <w:rPr>
          <w:sz w:val="22"/>
          <w:szCs w:val="22"/>
        </w:rPr>
        <w:t>, a Delaware corporation ("Counterparty").</w:t>
      </w:r>
    </w:p>
    <w:p>
      <w:pPr>
        <w:pStyle w:val="Normal"/>
        <w:spacing w:before="120" w:after="120"/>
        <w:jc w:val="center"/>
        <w:rPr>
          <w:b/>
          <w:bCs/>
          <w:sz w:val="22"/>
          <w:szCs w:val="22"/>
        </w:rPr>
      </w:pPr>
      <w:r>
        <w:rPr>
          <w:b/>
          <w:bCs/>
          <w:sz w:val="22"/>
          <w:szCs w:val="22"/>
        </w:rPr>
        <w:t>WITNESSETH:</w:t>
      </w:r>
    </w:p>
    <w:p>
      <w:pPr>
        <w:pStyle w:val="Normal"/>
        <w:spacing w:before="0" w:after="120"/>
        <w:jc w:val="both"/>
        <w:rPr>
          <w:sz w:val="22"/>
          <w:szCs w:val="22"/>
        </w:rPr>
      </w:pPr>
      <w:r>
        <w:rPr>
          <w:sz w:val="22"/>
          <w:szCs w:val="22"/>
        </w:rPr>
        <w:tab/>
        <w:t>WHEREAS, EPMI and Counterparty entered into that certain Master Energy Purchase and Sale Agreement dated effective July 1, 1997, as amended by that certain First Amendment to Master Energy Purchase and Sale Agreement dated as of March 7, 2000 ("Agreement"), covering transactions for the purchase or sale of Energy;</w:t>
      </w:r>
    </w:p>
    <w:p>
      <w:pPr>
        <w:pStyle w:val="Normal"/>
        <w:spacing w:before="0" w:after="120"/>
        <w:jc w:val="both"/>
        <w:rPr>
          <w:sz w:val="22"/>
          <w:szCs w:val="22"/>
        </w:rPr>
      </w:pPr>
      <w:r>
        <w:rPr>
          <w:sz w:val="22"/>
          <w:szCs w:val="22"/>
        </w:rPr>
        <w:tab/>
        <w:t>WHEREAS, the Parties now desire to amend the Agreement.</w:t>
      </w:r>
    </w:p>
    <w:p>
      <w:pPr>
        <w:pStyle w:val="Normal"/>
        <w:spacing w:before="0" w:after="120"/>
        <w:jc w:val="both"/>
        <w:rPr>
          <w:sz w:val="22"/>
          <w:szCs w:val="22"/>
        </w:rPr>
      </w:pPr>
      <w:r>
        <w:rPr>
          <w:sz w:val="22"/>
          <w:szCs w:val="22"/>
        </w:rPr>
        <w:tab/>
        <w:t>NOW, THEREFORE, in consideration of the premises and the agreements herein contained, the Parties agree as follows:</w:t>
      </w:r>
    </w:p>
    <w:p>
      <w:pPr>
        <w:pStyle w:val="Justified"/>
        <w:rPr>
          <w:sz w:val="22"/>
          <w:szCs w:val="22"/>
        </w:rPr>
      </w:pPr>
      <w:r>
        <w:rPr>
          <w:sz w:val="22"/>
          <w:szCs w:val="22"/>
        </w:rPr>
        <w:t>1.</w:t>
        <w:tab/>
        <w:t xml:space="preserve">All references in any writing related to the Agreement shall be to the Agreement as amended hereby.  </w:t>
      </w:r>
    </w:p>
    <w:p>
      <w:pPr>
        <w:pStyle w:val="BodyText"/>
        <w:rPr/>
      </w:pPr>
      <w:r>
        <w:rPr/>
        <w:t>2.</w:t>
        <w:tab/>
        <w:t>All capitalized terms used herein unless otherwise defined shall have the meanings given to them in the Agreement.</w:t>
      </w:r>
    </w:p>
    <w:p>
      <w:pPr>
        <w:pStyle w:val="Justified"/>
        <w:rPr>
          <w:sz w:val="22"/>
          <w:szCs w:val="22"/>
        </w:rPr>
      </w:pPr>
      <w:r>
        <w:rPr>
          <w:sz w:val="22"/>
          <w:szCs w:val="22"/>
        </w:rPr>
        <w:t xml:space="preserve">3. </w:t>
        <w:tab/>
        <w:t>Section 4.4 is hereby amended to add thereto the following additional subsections (c), (d) and (e):</w:t>
      </w:r>
    </w:p>
    <w:p>
      <w:pPr>
        <w:pStyle w:val="Normal"/>
        <w:spacing w:before="120" w:after="0"/>
        <w:ind w:firstLine="720" w:end="0"/>
        <w:jc w:val="both"/>
        <w:rPr>
          <w:sz w:val="22"/>
          <w:szCs w:val="22"/>
        </w:rPr>
      </w:pPr>
      <w:r>
        <w:rPr>
          <w:sz w:val="22"/>
          <w:szCs w:val="22"/>
        </w:rPr>
        <w:t>“</w:t>
      </w:r>
      <w:r>
        <w:rPr>
          <w:sz w:val="22"/>
          <w:szCs w:val="22"/>
        </w:rPr>
        <w:t>(c)  If at any time and from time to time during the term of this Agreement (and notwithstanding whether an Event of Default has occurred), the Termination Payment that would be owed to (i) EPMI exceeds $25,000,000, then Counterparty, on any Business Day, may request that EPMI provide Performance Assurance in an amount equal to the amount by which the Termination Payment exceeds $25,000,000 (rounding upwards for any fractional amount to the next $250,000), less any Performance Assurance already posted with Counterparty or (ii) Counterparty exceeds $25,000,000, then EPMI, on any Business Day, may request that Counterparty provide Performance Assurance in an amount equal to the amount by which the Termination Payment exceeds $25,000,000 (rounding upwards for any fractional amount to the next $250,000), less any Performance Assurance already posted with EPMI.  Such Performance Assurance shall be delivered within three (3) Business Days of the date of such request. On any Business Day (but no more frequently than weekly with respect to Letters of Credit and daily with respect to cash), a Party, at its sole cost, may request that such Performance Assurance be reduced correspondingly to the amount of such excess Termination Payment (rounding upwards for any fractional amount to the next $250,000). In the event a Party fails to provide Performance Assurance pursuant to the terms of this Section 4.4 (c) within three (3) Business Days, then an Event of Default under Section 4.1 shall be deemed to have occurred and the Non-Defaulting Party  will be entitled to the remedies set forth in Section 4.2 of this Agreement.  To the extent that any Performance Assurance posted hereunder takes the form of a Letter of Credit, such Letter of Credit shall be subject to the Letter of Credit Provisions attached as Exhibit E hereto.</w:t>
      </w:r>
    </w:p>
    <w:p>
      <w:pPr>
        <w:pStyle w:val="Normal"/>
        <w:spacing w:before="120" w:after="0"/>
        <w:ind w:firstLine="720" w:end="0"/>
        <w:jc w:val="both"/>
        <w:rPr>
          <w:sz w:val="22"/>
          <w:szCs w:val="22"/>
        </w:rPr>
      </w:pPr>
      <w:r>
        <w:rPr>
          <w:sz w:val="22"/>
          <w:szCs w:val="22"/>
        </w:rPr>
        <w:t>(d)  For purposes of Section 4.4 (c), the calculation of the Termination Payment shall be calculated by the Party requesting Performance Assurance pursuant to Section 4.4 as if all outstanding Transactions had been liquidated, and in addition thereto, shall include all amounts owed but not yet paid by one Party to the other whether or not such amounts are due, for performance already provided pursuant to any and all Transactions.</w:t>
      </w:r>
    </w:p>
    <w:p>
      <w:pPr>
        <w:pStyle w:val="Normal"/>
        <w:spacing w:before="120" w:after="0"/>
        <w:ind w:firstLine="720" w:end="0"/>
        <w:jc w:val="both"/>
        <w:rPr>
          <w:sz w:val="22"/>
          <w:szCs w:val="22"/>
        </w:rPr>
      </w:pPr>
      <w:r>
        <w:rPr>
          <w:sz w:val="22"/>
          <w:szCs w:val="22"/>
        </w:rPr>
        <w:t>(e)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Justified"/>
        <w:rPr>
          <w:sz w:val="22"/>
          <w:szCs w:val="22"/>
        </w:rPr>
      </w:pPr>
      <w:r>
        <w:rPr>
          <w:sz w:val="22"/>
          <w:szCs w:val="22"/>
        </w:rPr>
      </w:r>
    </w:p>
    <w:p>
      <w:pPr>
        <w:pStyle w:val="Justified"/>
        <w:rPr>
          <w:sz w:val="22"/>
          <w:szCs w:val="22"/>
        </w:rPr>
      </w:pPr>
      <w:r>
        <w:rPr>
          <w:sz w:val="22"/>
          <w:szCs w:val="22"/>
        </w:rPr>
        <w:t>4.  The definition of the term “Letter of Credit” in Appendix 1 is hereby amended by adding the following at the end thereof:</w:t>
      </w:r>
    </w:p>
    <w:p>
      <w:pPr>
        <w:pStyle w:val="Justified"/>
        <w:rPr>
          <w:sz w:val="22"/>
          <w:szCs w:val="22"/>
        </w:rPr>
      </w:pPr>
      <w:r>
        <w:rPr>
          <w:sz w:val="22"/>
          <w:szCs w:val="22"/>
        </w:rPr>
      </w:r>
    </w:p>
    <w:p>
      <w:pPr>
        <w:pStyle w:val="Heading2"/>
        <w:rPr>
          <w:sz w:val="22"/>
          <w:szCs w:val="22"/>
        </w:rPr>
      </w:pPr>
      <w:r>
        <w:rPr>
          <w:sz w:val="22"/>
          <w:szCs w:val="22"/>
        </w:rPr>
        <w:t>“</w:t>
      </w:r>
      <w:r>
        <w:rPr>
          <w:sz w:val="22"/>
          <w:szCs w:val="22"/>
        </w:rPr>
        <w:t xml:space="preserve">Such Letter of Credit shall be in the form attached as Exhibit F hereto, with such changes to the form as the issuing bank may require and as may be acceptable to the Party in whose favor the letter of credit is issued.” </w:t>
      </w:r>
    </w:p>
    <w:p>
      <w:pPr>
        <w:pStyle w:val="Justified"/>
        <w:rPr>
          <w:sz w:val="22"/>
          <w:szCs w:val="22"/>
        </w:rPr>
      </w:pPr>
      <w:r>
        <w:rPr>
          <w:sz w:val="22"/>
          <w:szCs w:val="22"/>
        </w:rPr>
        <w:t>5.</w:t>
        <w:tab/>
        <w:t>The Agreement is amended by adding thereto Exhibits E and F in the form attached to this Second Amendment.</w:t>
      </w:r>
    </w:p>
    <w:p>
      <w:pPr>
        <w:pStyle w:val="Justified"/>
        <w:rPr>
          <w:sz w:val="22"/>
          <w:szCs w:val="22"/>
        </w:rPr>
      </w:pPr>
      <w:r>
        <w:rPr>
          <w:sz w:val="22"/>
          <w:szCs w:val="22"/>
        </w:rPr>
        <w:t>6.</w:t>
        <w:tab/>
        <w:t>The Parties hereby acknowledge and agree that, except as specifically amended hereby, the Agreement shall remain in full force and effect in accordance with its terms.</w:t>
      </w:r>
    </w:p>
    <w:p>
      <w:pPr>
        <w:pStyle w:val="Justified"/>
        <w:rPr>
          <w:sz w:val="22"/>
          <w:szCs w:val="22"/>
        </w:rPr>
      </w:pPr>
      <w:r>
        <w:rPr>
          <w:sz w:val="22"/>
          <w:szCs w:val="22"/>
        </w:rPr>
        <w:t>7.</w:t>
        <w:tab/>
        <w:t>This Second Amendment may be executed in counterparts, each of which taken together shall constitute one and the same instrument.</w:t>
      </w:r>
    </w:p>
    <w:p>
      <w:pPr>
        <w:pStyle w:val="Heading2"/>
        <w:ind w:hanging="0" w:end="0"/>
        <w:rPr>
          <w:sz w:val="22"/>
          <w:szCs w:val="22"/>
        </w:rPr>
      </w:pPr>
      <w:r>
        <w:rPr>
          <w:sz w:val="22"/>
          <w:szCs w:val="22"/>
        </w:rPr>
        <w:t>8.</w:t>
        <w:tab/>
        <w:t>This Second Amendment constitutes the entire agreement and understanding of the Parties with respect to the subject matter hereof.  This Second Amendment shall be governed by and construed in accordance with the laws of the State of New York without reference to choice of law doctrine, and may be executed in counterparts, each of which shall be deemed an original and all of which taken together shall constitute on and the same instrument.</w:t>
      </w:r>
    </w:p>
    <w:p>
      <w:pPr>
        <w:pStyle w:val="Heading2"/>
        <w:rPr>
          <w:sz w:val="22"/>
          <w:szCs w:val="22"/>
        </w:rPr>
      </w:pPr>
      <w:r>
        <w:rPr>
          <w:sz w:val="22"/>
          <w:szCs w:val="22"/>
        </w:rPr>
      </w:r>
    </w:p>
    <w:p>
      <w:pPr>
        <w:pStyle w:val="Justified"/>
        <w:rPr>
          <w:sz w:val="22"/>
          <w:szCs w:val="22"/>
        </w:rPr>
      </w:pPr>
      <w:r>
        <w:rPr>
          <w:sz w:val="22"/>
          <w:szCs w:val="22"/>
        </w:rPr>
        <w:tab/>
        <w:t>IN WITNESS WHEREOF, EPMI and Counterparty, by their respective authorized representatives, have executed this Second Amendment effective as of the date first written above.</w:t>
      </w:r>
    </w:p>
    <w:p>
      <w:pPr>
        <w:pStyle w:val="Normal"/>
        <w:tabs>
          <w:tab w:val="clear" w:pos="720"/>
          <w:tab w:val="left" w:pos="5040" w:leader="none"/>
          <w:tab w:val="left" w:pos="9180" w:leader="none"/>
        </w:tabs>
        <w:spacing w:before="0" w:after="120"/>
        <w:jc w:val="both"/>
        <w:rPr>
          <w:sz w:val="22"/>
          <w:szCs w:val="22"/>
        </w:rPr>
      </w:pPr>
      <w:r>
        <w:rPr>
          <w:sz w:val="22"/>
          <w:szCs w:val="22"/>
        </w:rPr>
        <w:tab/>
        <w:t>ENRON POWER MARKETING, INC.</w:t>
      </w:r>
    </w:p>
    <w:p>
      <w:pPr>
        <w:pStyle w:val="Normal"/>
        <w:tabs>
          <w:tab w:val="clear" w:pos="720"/>
          <w:tab w:val="left" w:pos="5040" w:leader="none"/>
          <w:tab w:val="left" w:pos="9180" w:leader="none"/>
        </w:tabs>
        <w:spacing w:before="0" w:after="120"/>
        <w:jc w:val="both"/>
        <w:rPr>
          <w:sz w:val="22"/>
          <w:szCs w:val="22"/>
        </w:rPr>
      </w:pPr>
      <w:r>
        <w:rPr>
          <w:sz w:val="22"/>
          <w:szCs w:val="22"/>
        </w:rPr>
      </w:r>
    </w:p>
    <w:p>
      <w:pPr>
        <w:pStyle w:val="Normal"/>
        <w:tabs>
          <w:tab w:val="clear" w:pos="720"/>
          <w:tab w:val="left" w:pos="5040" w:leader="none"/>
          <w:tab w:val="left" w:pos="9180" w:leader="none"/>
        </w:tabs>
        <w:spacing w:before="0" w:after="120"/>
        <w:jc w:val="both"/>
        <w:rPr>
          <w:sz w:val="22"/>
          <w:szCs w:val="22"/>
        </w:rPr>
      </w:pPr>
      <w:r>
        <w:rPr>
          <w:sz w:val="22"/>
          <w:szCs w:val="22"/>
        </w:rPr>
        <w:tab/>
        <w:t>By:</w:t>
      </w:r>
      <w:r>
        <w:rPr>
          <w:sz w:val="22"/>
          <w:szCs w:val="22"/>
          <w:u w:val="single"/>
        </w:rPr>
        <w:tab/>
      </w:r>
    </w:p>
    <w:p>
      <w:pPr>
        <w:pStyle w:val="Normal"/>
        <w:tabs>
          <w:tab w:val="clear" w:pos="720"/>
          <w:tab w:val="left" w:pos="5040" w:leader="none"/>
          <w:tab w:val="left" w:pos="9180" w:leader="none"/>
        </w:tabs>
        <w:spacing w:before="0" w:after="120"/>
        <w:jc w:val="both"/>
        <w:rPr>
          <w:sz w:val="22"/>
          <w:szCs w:val="22"/>
        </w:rPr>
      </w:pPr>
      <w:r>
        <w:rPr>
          <w:sz w:val="22"/>
          <w:szCs w:val="22"/>
        </w:rPr>
        <w:tab/>
        <w:t>Name:</w:t>
      </w:r>
      <w:r>
        <w:rPr>
          <w:sz w:val="22"/>
          <w:szCs w:val="22"/>
          <w:u w:val="single"/>
        </w:rPr>
        <w:tab/>
      </w:r>
    </w:p>
    <w:p>
      <w:pPr>
        <w:pStyle w:val="Normal"/>
        <w:tabs>
          <w:tab w:val="clear" w:pos="720"/>
          <w:tab w:val="left" w:pos="5040" w:leader="none"/>
          <w:tab w:val="left" w:pos="9180" w:leader="none"/>
        </w:tabs>
        <w:jc w:val="both"/>
        <w:rPr>
          <w:sz w:val="22"/>
          <w:szCs w:val="22"/>
        </w:rPr>
      </w:pPr>
      <w:r>
        <w:rPr>
          <w:sz w:val="22"/>
          <w:szCs w:val="22"/>
        </w:rPr>
        <w:tab/>
        <w:t>Title:</w:t>
      </w:r>
      <w:r>
        <w:rPr>
          <w:sz w:val="22"/>
          <w:szCs w:val="22"/>
          <w:u w:val="single"/>
        </w:rPr>
        <w:tab/>
      </w:r>
    </w:p>
    <w:p>
      <w:pPr>
        <w:pStyle w:val="Normal"/>
        <w:tabs>
          <w:tab w:val="clear" w:pos="720"/>
          <w:tab w:val="left" w:pos="5580" w:leader="none"/>
          <w:tab w:val="left" w:pos="9180" w:leader="none"/>
        </w:tabs>
        <w:jc w:val="both"/>
        <w:rPr>
          <w:sz w:val="22"/>
          <w:szCs w:val="22"/>
        </w:rPr>
      </w:pPr>
      <w:r>
        <w:rPr>
          <w:sz w:val="22"/>
          <w:szCs w:val="22"/>
        </w:rPr>
        <w:tab/>
      </w:r>
    </w:p>
    <w:p>
      <w:pPr>
        <w:pStyle w:val="Normal"/>
        <w:tabs>
          <w:tab w:val="clear" w:pos="720"/>
          <w:tab w:val="left" w:pos="5040" w:leader="none"/>
          <w:tab w:val="left" w:pos="9180" w:leader="none"/>
        </w:tabs>
        <w:jc w:val="both"/>
        <w:rPr>
          <w:sz w:val="22"/>
          <w:szCs w:val="22"/>
        </w:rPr>
      </w:pPr>
      <w:r>
        <w:rPr>
          <w:sz w:val="22"/>
          <w:szCs w:val="22"/>
        </w:rPr>
      </w:r>
    </w:p>
    <w:p>
      <w:pPr>
        <w:pStyle w:val="Normal"/>
        <w:tabs>
          <w:tab w:val="clear" w:pos="720"/>
          <w:tab w:val="left" w:pos="5040" w:leader="none"/>
          <w:tab w:val="left" w:pos="9180" w:leader="none"/>
        </w:tabs>
        <w:jc w:val="both"/>
        <w:rPr>
          <w:sz w:val="22"/>
          <w:szCs w:val="22"/>
        </w:rPr>
      </w:pPr>
      <w:r>
        <w:rPr>
          <w:sz w:val="22"/>
          <w:szCs w:val="22"/>
        </w:rPr>
        <w:tab/>
        <w:t>MORGAN STANLEY CAPITAL</w:t>
      </w:r>
    </w:p>
    <w:p>
      <w:pPr>
        <w:pStyle w:val="Normal"/>
        <w:tabs>
          <w:tab w:val="clear" w:pos="720"/>
          <w:tab w:val="left" w:pos="5040" w:leader="none"/>
          <w:tab w:val="left" w:pos="9180" w:leader="none"/>
        </w:tabs>
        <w:jc w:val="both"/>
        <w:rPr>
          <w:sz w:val="22"/>
          <w:szCs w:val="22"/>
        </w:rPr>
      </w:pPr>
      <w:r>
        <w:rPr>
          <w:sz w:val="22"/>
          <w:szCs w:val="22"/>
        </w:rPr>
        <w:tab/>
        <w:t xml:space="preserve">GROUP, INC. </w:t>
      </w:r>
    </w:p>
    <w:p>
      <w:pPr>
        <w:pStyle w:val="Normal"/>
        <w:tabs>
          <w:tab w:val="clear" w:pos="720"/>
          <w:tab w:val="left" w:pos="5040" w:leader="none"/>
          <w:tab w:val="left" w:pos="9180" w:leader="none"/>
        </w:tabs>
        <w:jc w:val="both"/>
        <w:rPr>
          <w:sz w:val="22"/>
          <w:szCs w:val="22"/>
        </w:rPr>
      </w:pPr>
      <w:r>
        <w:rPr>
          <w:sz w:val="22"/>
          <w:szCs w:val="22"/>
        </w:rPr>
      </w:r>
    </w:p>
    <w:p>
      <w:pPr>
        <w:pStyle w:val="Normal"/>
        <w:tabs>
          <w:tab w:val="clear" w:pos="720"/>
          <w:tab w:val="left" w:pos="5040" w:leader="none"/>
          <w:tab w:val="left" w:pos="9180" w:leader="none"/>
        </w:tabs>
        <w:spacing w:before="0" w:after="120"/>
        <w:jc w:val="both"/>
        <w:rPr>
          <w:sz w:val="22"/>
          <w:szCs w:val="22"/>
        </w:rPr>
      </w:pPr>
      <w:r>
        <w:rPr>
          <w:sz w:val="22"/>
          <w:szCs w:val="22"/>
        </w:rPr>
        <w:tab/>
        <w:t>By:</w:t>
      </w:r>
      <w:r>
        <w:rPr>
          <w:sz w:val="22"/>
          <w:szCs w:val="22"/>
          <w:u w:val="single"/>
        </w:rPr>
        <w:tab/>
      </w:r>
    </w:p>
    <w:p>
      <w:pPr>
        <w:pStyle w:val="Normal"/>
        <w:tabs>
          <w:tab w:val="clear" w:pos="720"/>
          <w:tab w:val="left" w:pos="5040" w:leader="none"/>
          <w:tab w:val="left" w:pos="9180" w:leader="none"/>
        </w:tabs>
        <w:spacing w:before="0" w:after="120"/>
        <w:jc w:val="both"/>
        <w:rPr>
          <w:sz w:val="22"/>
          <w:szCs w:val="22"/>
        </w:rPr>
      </w:pPr>
      <w:r>
        <w:rPr>
          <w:sz w:val="22"/>
          <w:szCs w:val="22"/>
        </w:rPr>
        <w:tab/>
        <w:t>Name:</w:t>
      </w:r>
      <w:r>
        <w:rPr>
          <w:sz w:val="22"/>
          <w:szCs w:val="22"/>
          <w:u w:val="single"/>
        </w:rPr>
        <w:tab/>
      </w:r>
    </w:p>
    <w:p>
      <w:pPr>
        <w:pStyle w:val="Normal"/>
        <w:tabs>
          <w:tab w:val="clear" w:pos="720"/>
          <w:tab w:val="left" w:pos="5040" w:leader="none"/>
          <w:tab w:val="left" w:pos="9180" w:leader="none"/>
        </w:tabs>
        <w:jc w:val="both"/>
        <w:rPr/>
      </w:pPr>
      <w:r>
        <w:rPr>
          <w:sz w:val="22"/>
          <w:szCs w:val="22"/>
        </w:rPr>
        <w:tab/>
        <w:t>Title:</w:t>
      </w:r>
      <w:r>
        <w:rPr>
          <w:sz w:val="22"/>
          <w:szCs w:val="22"/>
          <w:u w:val="single"/>
        </w:rPr>
        <w:tab/>
      </w:r>
    </w:p>
    <w:p>
      <w:pPr>
        <w:pStyle w:val="Normal"/>
        <w:tabs>
          <w:tab w:val="clear" w:pos="720"/>
          <w:tab w:val="left" w:pos="5040" w:leader="none"/>
          <w:tab w:val="left" w:pos="9180" w:leader="none"/>
        </w:tabs>
        <w:jc w:val="both"/>
        <w:rPr>
          <w:sz w:val="22"/>
          <w:szCs w:val="22"/>
          <w:u w:val="single"/>
        </w:rPr>
      </w:pPr>
      <w:r>
        <w:rPr>
          <w:sz w:val="22"/>
          <w:szCs w:val="22"/>
          <w:u w:val="single"/>
        </w:rPr>
      </w:r>
    </w:p>
    <w:p>
      <w:pPr>
        <w:pStyle w:val="Normal"/>
        <w:tabs>
          <w:tab w:val="clear" w:pos="720"/>
          <w:tab w:val="left" w:pos="5040" w:leader="none"/>
          <w:tab w:val="left" w:pos="9180" w:leader="none"/>
        </w:tabs>
        <w:jc w:val="both"/>
        <w:rPr>
          <w:sz w:val="22"/>
          <w:szCs w:val="22"/>
          <w:u w:val="single"/>
        </w:rPr>
      </w:pPr>
      <w:r>
        <w:rPr>
          <w:sz w:val="22"/>
          <w:szCs w:val="22"/>
          <w:u w:val="single"/>
        </w:rPr>
      </w:r>
    </w:p>
    <w:p>
      <w:pPr>
        <w:pStyle w:val="Normal"/>
        <w:tabs>
          <w:tab w:val="clear" w:pos="720"/>
          <w:tab w:val="left" w:pos="5040" w:leader="none"/>
          <w:tab w:val="left" w:pos="9180" w:leader="none"/>
        </w:tabs>
        <w:jc w:val="both"/>
        <w:rPr>
          <w:sz w:val="22"/>
          <w:szCs w:val="22"/>
          <w:u w:val="single"/>
        </w:rPr>
      </w:pPr>
      <w:r>
        <w:rPr>
          <w:sz w:val="22"/>
          <w:szCs w:val="22"/>
          <w:u w:val="single"/>
        </w:rPr>
      </w:r>
      <w:r>
        <w:br w:type="page"/>
      </w:r>
    </w:p>
    <w:p>
      <w:pPr>
        <w:pStyle w:val="Normal"/>
        <w:jc w:val="center"/>
        <w:rPr>
          <w:sz w:val="22"/>
          <w:szCs w:val="22"/>
        </w:rPr>
      </w:pPr>
      <w:r>
        <w:rPr>
          <w:sz w:val="22"/>
          <w:szCs w:val="22"/>
          <w:u w:val="single"/>
        </w:rPr>
        <w:t>EXHIBIT E</w:t>
      </w:r>
    </w:p>
    <w:p>
      <w:pPr>
        <w:pStyle w:val="Normal"/>
        <w:jc w:val="center"/>
        <w:rPr>
          <w:sz w:val="22"/>
          <w:szCs w:val="22"/>
        </w:rPr>
      </w:pPr>
      <w:r>
        <w:rPr>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sz w:val="22"/>
          <w:szCs w:val="22"/>
          <w:u w:val="single"/>
        </w:rPr>
        <w:t>Letters of Credit</w:t>
      </w:r>
      <w:r>
        <w:rPr>
          <w:sz w:val="22"/>
          <w:szCs w:val="22"/>
        </w:rPr>
        <w:t>.  Performance Assurance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of the Letter of Credit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Performance Assurance, in each case at least twenty (20)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Performance Assurance, in each case within two (2)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(b)  Upon the occurrence of a Letter of Credit Default, X agrees to either cause another Issuer to deliver to Y a substitute Letter of Credit, or, alternatively, X shall provide other Performance Assurance, in each case on or before the second Business Day after the occurrence thereof (or on or before the fifth Business Day after the occurrence thereof if only clause (i) under the definition of Letter of Credit Default applies).  “</w:t>
      </w:r>
      <w:r>
        <w:rPr>
          <w:sz w:val="22"/>
          <w:szCs w:val="22"/>
          <w:u w:val="single"/>
        </w:rPr>
        <w:t>Letter of Credit Default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the Issuer becomes subject to a Bankruptcy Proceeding;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the Master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Performance Assurance,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Performance Assurance and shall either be (y) applied against all amounts that are due and owing from X but have not been paid to Y within the time allowed for such payments under this Agreement or (z) maintained in accordance herewith.  Notwithstanding Y’s receipt of cash under the Letter of Credit, X shall remain liable to Y for any failure to transfer sufficient Performance Assurance to Y in accordance with the terms hereof.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footerReference w:type="default" r:id="rId2"/>
          <w:type w:val="nextPage"/>
          <w:pgSz w:w="12240" w:h="15840"/>
          <w:pgMar w:left="1080" w:right="1080" w:gutter="0" w:header="0" w:top="1440" w:footer="720" w:bottom="776"/>
          <w:pgNumType w:start="1" w:fmt="decimal"/>
          <w:formProt w:val="false"/>
          <w:textDirection w:val="lrTb"/>
        </w:sectPr>
        <w:pStyle w:val="Normal"/>
        <w:ind w:start="180" w:end="0"/>
        <w:jc w:val="both"/>
        <w:rPr/>
      </w:pPr>
      <w:r>
        <w:rPr>
          <w:sz w:val="22"/>
          <w:szCs w:val="22"/>
        </w:rPr>
        <w:t xml:space="preserve">(e) The provisions of this </w:t>
      </w:r>
      <w:r>
        <w:rPr>
          <w:sz w:val="22"/>
          <w:szCs w:val="22"/>
          <w:u w:val="single"/>
        </w:rPr>
        <w:t>Exhibit E</w:t>
      </w:r>
      <w:r>
        <w:rPr>
          <w:sz w:val="22"/>
          <w:szCs w:val="22"/>
        </w:rPr>
        <w:t xml:space="preserve"> shall constitute agreements for all purposes of the Master Agreement, including Section 4.1 (vi) of the Agreement.</w:t>
      </w:r>
    </w:p>
    <w:p>
      <w:pPr>
        <w:pStyle w:val="Heading3"/>
        <w:ind w:firstLine="360" w:start="3960" w:end="1440"/>
        <w:rPr>
          <w:sz w:val="22"/>
          <w:szCs w:val="22"/>
        </w:rPr>
      </w:pPr>
      <w:r>
        <w:rPr>
          <w:sz w:val="22"/>
          <w:szCs w:val="22"/>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tabs>
          <w:tab w:val="clear" w:pos="720"/>
          <w:tab w:val="left" w:pos="0" w:leader="none"/>
          <w:tab w:val="left" w:pos="360" w:leader="none"/>
        </w:tabs>
        <w:spacing w:lineRule="exact" w:line="240"/>
        <w:ind w:hanging="360" w:start="1080" w:end="0"/>
        <w:jc w:val="both"/>
        <w:rPr>
          <w:sz w:val="22"/>
          <w:szCs w:val="22"/>
        </w:rPr>
      </w:pPr>
      <w:r>
        <w:rPr>
          <w:sz w:val="22"/>
          <w:szCs w:val="22"/>
        </w:rPr>
        <w:t>“</w:t>
      </w:r>
      <w:r>
        <w:rPr>
          <w:sz w:val="22"/>
          <w:szCs w:val="22"/>
        </w:rPr>
        <w:t>An Event of Default (as defined in the Master Power Purchase and Sale Agreement dated as of  July 1, 1997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2"/>
        <w:ind w:firstLine="720" w:start="0" w:end="0"/>
        <w:jc w:val="both"/>
        <w:rPr>
          <w:b w:val="false"/>
          <w:bCs w:val="false"/>
          <w:sz w:val="22"/>
          <w:szCs w:val="22"/>
        </w:rPr>
      </w:pPr>
      <w:r>
        <w:rPr>
          <w:b w:val="false"/>
          <w:bCs w:val="false"/>
          <w:sz w:val="22"/>
          <w:szCs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b/>
          <w:bCs/>
          <w:sz w:val="22"/>
          <w:szCs w:val="22"/>
        </w:rPr>
      </w:pPr>
      <w:r>
        <w:rPr>
          <w:b/>
          <w:bCs/>
          <w:sz w:val="22"/>
          <w:szCs w:val="22"/>
        </w:rPr>
      </w:r>
    </w:p>
    <w:p>
      <w:pPr>
        <w:pStyle w:val="BodyText"/>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FootnoteText"/>
        <w:keepNext w:val="true"/>
        <w:rPr>
          <w:sz w:val="22"/>
          <w:szCs w:val="22"/>
        </w:rPr>
      </w:pPr>
      <w:r>
        <w:rPr>
          <w:sz w:val="22"/>
          <w:szCs w:val="22"/>
        </w:rPr>
      </w:r>
    </w:p>
    <w:p>
      <w:pPr>
        <w:pStyle w:val="BlockTextBold"/>
        <w:rPr>
          <w:b w:val="false"/>
          <w:bCs w:val="false"/>
          <w:sz w:val="22"/>
          <w:szCs w:val="22"/>
        </w:rPr>
      </w:pPr>
      <w:r>
        <w:rPr>
          <w:b w:val="false"/>
          <w:bCs w:val="false"/>
          <w:sz w:val="22"/>
          <w:szCs w:val="22"/>
        </w:rPr>
      </w:r>
    </w:p>
    <w:p>
      <w:pPr>
        <w:pStyle w:val="Normal"/>
        <w:rPr>
          <w:b/>
          <w:bCs/>
          <w:sz w:val="22"/>
          <w:szCs w:val="22"/>
        </w:rPr>
      </w:pPr>
      <w:r>
        <w:rPr>
          <w:b/>
          <w:bCs/>
          <w:sz w:val="22"/>
          <w:szCs w:val="22"/>
        </w:rPr>
      </w:r>
    </w:p>
    <w:p>
      <w:pPr>
        <w:pStyle w:val="Normal"/>
        <w:tabs>
          <w:tab w:val="clear" w:pos="720"/>
          <w:tab w:val="left" w:pos="5040" w:leader="none"/>
          <w:tab w:val="left" w:pos="9180" w:leader="none"/>
        </w:tabs>
        <w:jc w:val="both"/>
        <w:rPr>
          <w:sz w:val="22"/>
          <w:szCs w:val="22"/>
        </w:rPr>
      </w:pPr>
      <w:r>
        <w:rPr>
          <w:sz w:val="22"/>
          <w:szCs w:val="22"/>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/mnt/main-storage/datasets/enron-docs/doc/MorganStanleyamd-bf1f1dcf0152cddb76499bd728eeade5b6c4548d1f05c28f5cf7accc840ee65e.doc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szCs w:val="16"/>
      </w:rPr>
    </w:pPr>
    <w:r>
      <w:rPr>
        <w:sz w:val="16"/>
        <w:szCs w:val="16"/>
      </w:rPr>
      <w:t>legal\gfitzge\power\MorganStanleyamd.doc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BodyText"/>
    <w:qFormat/>
    <w:pPr>
      <w:numPr>
        <w:ilvl w:val="4"/>
        <w:numId w:val="1"/>
      </w:numPr>
      <w:spacing w:lineRule="auto" w:line="240" w:before="0" w:after="240"/>
      <w:jc w:val="both"/>
      <w:outlineLvl w:val="4"/>
    </w:pPr>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eastAsia="Tms Rmn" w:cs="Tms Rmn"/>
      <w:vanish/>
      <w:color w:val="FF0000"/>
    </w:rPr>
  </w:style>
  <w:style w:type="paragraph" w:styleId="Expanded">
    <w:name w:val="Expanded"/>
    <w:basedOn w:val="Normal"/>
    <w:next w:val="Normal"/>
    <w:qFormat/>
    <w:pPr>
      <w:spacing w:before="0" w:after="240"/>
      <w:jc w:val="center"/>
    </w:pPr>
    <w:rPr>
      <w:b/>
      <w:bCs/>
      <w:caps/>
      <w:spacing w:val="60"/>
    </w:rPr>
  </w:style>
  <w:style w:type="paragraph" w:styleId="BlockTextBold">
    <w:name w:val="BlockTextBold"/>
    <w:basedOn w:val="Normal"/>
    <w:qFormat/>
    <w:pPr>
      <w:spacing w:lineRule="auto" w:line="240" w:before="0" w:after="240"/>
      <w:jc w:val="both"/>
    </w:pPr>
    <w:rPr>
      <w:b/>
      <w:bCs/>
    </w:rPr>
  </w:style>
  <w:style w:type="paragraph" w:styleId="BodyText2">
    <w:name w:val="Body Text 2"/>
    <w:basedOn w:val="Normal"/>
    <w:qFormat/>
    <w:pPr>
      <w:tabs>
        <w:tab w:val="clear" w:pos="720"/>
        <w:tab w:val="right" w:pos="4475" w:leader="none"/>
      </w:tabs>
      <w:spacing w:lineRule="auto" w:line="240"/>
      <w:ind w:hanging="0" w:start="245" w:end="0"/>
    </w:pPr>
    <w:rPr>
      <w:b/>
      <w:bC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2001-06-06T16:22:00Z</dcterms:created>
  <dc:creator>ECT</dc:creator>
  <dc:description/>
  <dc:language>en-CA</dc:language>
  <cp:lastModifiedBy>cstclai</cp:lastModifiedBy>
  <cp:lastPrinted>2001-06-06T14:31:00Z</cp:lastPrinted>
  <dcterms:modified xsi:type="dcterms:W3CDTF">2001-06-06T17:01:00Z</dcterms:modified>
  <cp:revision>3</cp:revision>
  <dc:subject>EnerZ Corp.</dc:subject>
  <dc:title>FIRST AMENDMENT TO</dc:title>
</cp:coreProperties>
</file>