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0"/>
        <w:gridCol w:w="708"/>
        <w:gridCol w:w="1360"/>
        <w:gridCol w:w="2430"/>
        <w:gridCol w:w="2255"/>
        <w:gridCol w:w="990"/>
        <w:gridCol w:w="3145"/>
      </w:tblGrid>
      <w:tr>
        <w:trPr/>
        <w:tc>
          <w:tcPr>
            <w:tcW w:w="2268" w:type="dxa"/>
            <w:gridSpan w:val="3"/>
            <w:tcBorders/>
          </w:tcPr>
          <w:p>
            <w:pPr>
              <w:pStyle w:val="Subject"/>
              <w:tabs>
                <w:tab w:val="left" w:pos="540" w:leader="none"/>
              </w:tabs>
              <w:rPr/>
            </w:pPr>
            <w:bookmarkStart w:id="0" w:name="StartOfMemo"/>
            <w:bookmarkEnd w:id="0"/>
            <w:r>
              <w:rPr/>
              <w:drawing>
                <wp:inline distT="0" distB="0" distL="0" distR="0">
                  <wp:extent cx="1130935" cy="111506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111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90" w:type="dxa"/>
            <w:gridSpan w:val="3"/>
            <w:tcBorders/>
          </w:tcPr>
          <w:p>
            <w:pPr>
              <w:pStyle w:val="Heading7"/>
              <w:ind w:hanging="0" w:start="0"/>
              <w:rPr>
                <w:vanish/>
              </w:rPr>
            </w:pPr>
            <w:r>
              <w:rPr>
                <w:vanish/>
              </w:rPr>
              <w:t>Confidential Communications</w:t>
            </w:r>
          </w:p>
          <w:p>
            <w:pPr>
              <w:pStyle w:val="Normal"/>
              <w:jc w:val="end"/>
              <w:rPr>
                <w:b/>
                <w:vanish/>
                <w:sz w:val="28"/>
              </w:rPr>
            </w:pPr>
            <w:r>
              <w:rPr>
                <w:b/>
                <w:vanish/>
                <w:sz w:val="28"/>
              </w:rPr>
              <w:t>Attorney-Client Privilege</w:t>
            </w:r>
          </w:p>
          <w:p>
            <w:pPr>
              <w:pStyle w:val="Normal"/>
              <w:rPr>
                <w:b/>
                <w:vanish/>
                <w:sz w:val="28"/>
              </w:rPr>
            </w:pPr>
            <w:r>
              <w:rPr>
                <w:b/>
                <w:vanish/>
                <w:sz w:val="28"/>
              </w:rPr>
            </w:r>
          </w:p>
        </w:tc>
      </w:tr>
      <w:tr>
        <w:trPr>
          <w:trHeight w:val="300" w:hRule="exact"/>
        </w:trPr>
        <w:tc>
          <w:tcPr>
            <w:tcW w:w="20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b/>
                <w:vanish/>
                <w:sz w:val="28"/>
              </w:rPr>
            </w:pPr>
            <w:r>
              <w:rPr>
                <w:b/>
                <w:vanish/>
                <w:sz w:val="28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gridSpan w:val="3"/>
            <w:tcBorders/>
          </w:tcPr>
          <w:p>
            <w:pPr>
              <w:pStyle w:val="To"/>
              <w:rPr>
                <w:sz w:val="22"/>
              </w:rPr>
            </w:pPr>
            <w:r>
              <w:rPr>
                <w:sz w:val="22"/>
              </w:rPr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4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41" w:hRule="exact"/>
        </w:trPr>
        <w:tc>
          <w:tcPr>
            <w:tcW w:w="200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gridSpan w:val="3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4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200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gridSpan w:val="3"/>
            <w:tcBorders/>
          </w:tcPr>
          <w:p>
            <w:pPr>
              <w:pStyle w:val="From"/>
              <w:rPr>
                <w:sz w:val="22"/>
              </w:rPr>
            </w:pPr>
            <w:r>
              <w:rPr>
                <w:sz w:val="22"/>
              </w:rPr>
              <w:t>Jordan Mintz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3145" w:type="dxa"/>
            <w:tcBorders/>
          </w:tcPr>
          <w:p>
            <w:pPr>
              <w:pStyle w:val="Department"/>
              <w:rPr>
                <w:sz w:val="22"/>
              </w:rPr>
            </w:pPr>
            <w:r>
              <w:rPr>
                <w:sz w:val="22"/>
              </w:rPr>
              <w:t>Enron Global Finance - Legal</w:t>
            </w:r>
          </w:p>
        </w:tc>
      </w:tr>
      <w:tr>
        <w:trPr>
          <w:trHeight w:val="283" w:hRule="exact"/>
        </w:trPr>
        <w:tc>
          <w:tcPr>
            <w:tcW w:w="20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  <w:bookmarkStart w:id="1" w:name="From"/>
            <w:bookmarkStart w:id="2" w:name="From"/>
            <w:bookmarkEnd w:id="2"/>
          </w:p>
        </w:tc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gridSpan w:val="3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4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88" w:hRule="exact"/>
        </w:trPr>
        <w:tc>
          <w:tcPr>
            <w:tcW w:w="20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gridSpan w:val="3"/>
            <w:tcBorders/>
          </w:tcPr>
          <w:p>
            <w:pPr>
              <w:pStyle w:val="Subje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Vincent Moreland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3145" w:type="dxa"/>
            <w:tcBorders/>
          </w:tcPr>
          <w:p>
            <w:pPr>
              <w:pStyle w:val="Date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DATE \@"MMMM\ d', 'yyyy" 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September 28, 2025</w:t>
            </w:r>
            <w:r>
              <w:rPr>
                <w:sz w:val="22"/>
              </w:rPr>
              <w:fldChar w:fldCharType="end"/>
            </w:r>
          </w:p>
        </w:tc>
      </w:tr>
      <w:tr>
        <w:trPr>
          <w:trHeight w:val="342" w:hRule="exact"/>
        </w:trPr>
        <w:tc>
          <w:tcPr>
            <w:tcW w:w="20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gridSpan w:val="3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135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pStyle w:val="Normal"/>
        <w:ind w:end="540"/>
        <w:rPr/>
      </w:pPr>
      <w:r>
        <w:rPr/>
      </w:r>
    </w:p>
    <w:p>
      <w:pPr>
        <w:pStyle w:val="Body"/>
        <w:jc w:val="both"/>
        <w:rPr>
          <w:sz w:val="22"/>
        </w:rPr>
      </w:pPr>
      <w:r>
        <w:rPr>
          <w:sz w:val="22"/>
        </w:rPr>
        <w:t>I am pleased to announce that Vincent Moreland has recently joined our Global Finance Legal Department as Sr. Counsel.  Many of you may have worked with Vincent while he was at Vinson &amp; Elkins, where he practiced for 11 years.</w:t>
      </w:r>
    </w:p>
    <w:p>
      <w:pPr>
        <w:pStyle w:val="Body"/>
        <w:jc w:val="both"/>
        <w:rPr>
          <w:sz w:val="22"/>
        </w:rPr>
      </w:pPr>
      <w:r>
        <w:rPr>
          <w:sz w:val="22"/>
        </w:rPr>
      </w:r>
    </w:p>
    <w:p>
      <w:pPr>
        <w:pStyle w:val="Body"/>
        <w:jc w:val="both"/>
        <w:rPr>
          <w:sz w:val="22"/>
        </w:rPr>
      </w:pPr>
      <w:r>
        <w:rPr>
          <w:sz w:val="22"/>
        </w:rPr>
        <w:t>Vincent received his JD (cum laude) from J. Reuben Clark Law School at Brigham Young University (1990), and his BA also from BYU (1987).</w:t>
      </w:r>
    </w:p>
    <w:p>
      <w:pPr>
        <w:pStyle w:val="Body"/>
        <w:jc w:val="both"/>
        <w:rPr>
          <w:sz w:val="22"/>
        </w:rPr>
      </w:pPr>
      <w:r>
        <w:rPr>
          <w:sz w:val="22"/>
        </w:rPr>
      </w:r>
    </w:p>
    <w:p>
      <w:pPr>
        <w:pStyle w:val="Body"/>
        <w:jc w:val="both"/>
        <w:rPr>
          <w:sz w:val="22"/>
        </w:rPr>
      </w:pPr>
      <w:r>
        <w:rPr>
          <w:sz w:val="22"/>
        </w:rPr>
        <w:t>Vincent is married to Janice, and they have four children; Joshua, Charlotte, Daniel, and Benjamin.</w:t>
      </w:r>
    </w:p>
    <w:p>
      <w:pPr>
        <w:pStyle w:val="Body"/>
        <w:jc w:val="both"/>
        <w:rPr>
          <w:sz w:val="22"/>
        </w:rPr>
      </w:pPr>
      <w:r>
        <w:rPr>
          <w:sz w:val="22"/>
        </w:rPr>
      </w:r>
    </w:p>
    <w:p>
      <w:pPr>
        <w:pStyle w:val="Body"/>
        <w:jc w:val="both"/>
        <w:rPr>
          <w:sz w:val="22"/>
        </w:rPr>
      </w:pPr>
      <w:r>
        <w:rPr>
          <w:sz w:val="22"/>
        </w:rPr>
        <w:t>Please join me in welcoming Vincent to the Enron Global Finance team.</w:t>
      </w:r>
    </w:p>
    <w:p>
      <w:pPr>
        <w:pStyle w:val="Body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Distribution: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Enron Global Finance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Corp Legal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EWS Legal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Joseph Dilg, Vinson &amp; Elkins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David Barbour, Andrews &amp; Kurt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David Runnels, Andrews &amp; Kurth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Pat Oxford, Bracewell &amp; Patterson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Dick Rice, Bracewell &amp; Patterson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Clark Thompson, Bracewell &amp; Patterson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Eric Silverman, Milbank Tweed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Trey Davis, Milbank Tweed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ab/>
        <w:t>Mike Niebruggee, Mayer, Brown, Platt</w:t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</w:r>
    </w:p>
    <w:p>
      <w:pPr>
        <w:pStyle w:val="Body"/>
        <w:tabs>
          <w:tab w:val="left" w:pos="1422" w:leader="none"/>
        </w:tabs>
        <w:ind w:start="0" w:end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99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2430" w:leader="none"/>
        <w:tab w:val="left" w:pos="5310" w:leader="none"/>
        <w:tab w:val="right" w:pos="100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rPr>
        <w:sz w:val="12"/>
      </w:rPr>
    </w:pPr>
    <w:r>
      <w:rPr>
        <w:sz w:val="1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2430" w:leader="none"/>
        <w:tab w:val="left" w:pos="5310" w:leader="none"/>
        <w:tab w:val="right" w:pos="100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-285115</wp:posOffset>
              </wp:positionV>
              <wp:extent cx="3877310" cy="58102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5810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45.75pt;mso-wrap-distance-left:9.35pt;mso-wrap-distance-right:9.35pt;mso-wrap-distance-top:0pt;mso-wrap-distance-bottom:0pt;margin-top:-22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118745" distR="118745" simplePos="0" locked="0" layoutInCell="0" allowOverlap="1" relativeHeight="4">
              <wp:simplePos x="0" y="0"/>
              <wp:positionH relativeFrom="page">
                <wp:posOffset>2556510</wp:posOffset>
              </wp:positionH>
              <wp:positionV relativeFrom="paragraph">
                <wp:posOffset>-56515</wp:posOffset>
              </wp:positionV>
              <wp:extent cx="3877310" cy="352425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3524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27.75pt;mso-wrap-distance-left:9.35pt;mso-wrap-distance-right:9.35pt;mso-wrap-distance-top:0pt;mso-wrap-distance-bottom:0pt;margin-top:-4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540"/>
      <w:outlineLvl w:val="1"/>
    </w:pPr>
    <w:rPr>
      <w:b/>
      <w:sz w:val="2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  <w:tab w:val="left" w:pos="720" w:leader="none"/>
        <w:tab w:val="left" w:pos="1080" w:leader="none"/>
      </w:tabs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468" w:start="54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540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end"/>
      <w:outlineLvl w:val="6"/>
    </w:pPr>
    <w:rPr>
      <w:b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lockText">
    <w:name w:val="Block Text"/>
    <w:basedOn w:val="Normal"/>
    <w:qFormat/>
    <w:pPr>
      <w:ind w:hanging="0" w:start="72" w:end="54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2001-08-17T17:05:00Z</dcterms:created>
  <dc:creator>Enron</dc:creator>
  <dc:description>AttachmentPlease have John sign and return the original document to me.Attached is a Services Agreement for Financial Transactions between ECT and ECTC which Greg Whalley has executed.  Confirmed that service fee would not hit John’s P &amp; L.  Please l</dc:description>
  <cp:keywords>service please john if financial</cp:keywords>
  <dc:language>en-CA</dc:language>
  <cp:lastModifiedBy>dforsyt</cp:lastModifiedBy>
  <cp:lastPrinted>2001-08-17T15:47:00Z</cp:lastPrinted>
  <dcterms:modified xsi:type="dcterms:W3CDTF">2001-08-17T19:18:00Z</dcterms:modified>
  <cp:revision>10</cp:revision>
  <dc:subject/>
  <dc:title>Eron Capital &amp; Trade Resources Memo</dc:title>
</cp:coreProperties>
</file>