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More info from P&amp;E re Plan of Reorganization</w:t>
      </w:r>
    </w:p>
    <w:p>
      <w:pPr>
        <w:pStyle w:val="Normal"/>
        <w:rPr/>
      </w:pPr>
      <w:r>
        <w:rPr/>
      </w:r>
    </w:p>
    <w:p>
      <w:pPr>
        <w:pStyle w:val="Normal"/>
        <w:rPr/>
      </w:pPr>
      <w:r>
        <w:rPr/>
        <w:t>I asked the three questions that came up yesterday in the Legislative Committee call.  Here are PG&amp;E’s answers.</w:t>
      </w:r>
    </w:p>
    <w:p>
      <w:pPr>
        <w:pStyle w:val="Normal"/>
        <w:rPr/>
      </w:pPr>
      <w:r>
        <w:rPr/>
      </w:r>
    </w:p>
    <w:p>
      <w:pPr>
        <w:pStyle w:val="Normal"/>
        <w:numPr>
          <w:ilvl w:val="0"/>
          <w:numId w:val="1"/>
        </w:numPr>
        <w:rPr/>
      </w:pPr>
      <w:r>
        <w:rPr/>
        <w:t>Re FERC refunds: As I had thought, these would simply reduce the amount that PG&amp;E would have to pay to creditors.  The issue will remain with FERC, not the bankruptcy court.</w:t>
      </w:r>
    </w:p>
    <w:p>
      <w:pPr>
        <w:pStyle w:val="Normal"/>
        <w:rPr/>
      </w:pPr>
      <w:r>
        <w:rPr/>
      </w:r>
    </w:p>
    <w:p>
      <w:pPr>
        <w:pStyle w:val="Normal"/>
        <w:numPr>
          <w:ilvl w:val="0"/>
          <w:numId w:val="1"/>
        </w:numPr>
        <w:rPr/>
      </w:pPr>
      <w:r>
        <w:rPr/>
        <w:t>Re retaking the net short: PG&amp;E will NOT assume the DWR contracts. Indeed it seeks a court ruling whereby it will be prohibited from doing so.  It would continue to act as a billing agent for DWR.  It would procure the net net short (what is left after DWR) once all of the conditions I listed in the last summary are met.</w:t>
      </w:r>
    </w:p>
    <w:p>
      <w:pPr>
        <w:pStyle w:val="Normal"/>
        <w:rPr/>
      </w:pPr>
      <w:r>
        <w:rPr/>
      </w:r>
    </w:p>
    <w:p>
      <w:pPr>
        <w:pStyle w:val="Normal"/>
        <w:numPr>
          <w:ilvl w:val="0"/>
          <w:numId w:val="1"/>
        </w:numPr>
        <w:rPr/>
      </w:pPr>
      <w:r>
        <w:rPr/>
        <w:t>Re winning the filed rate doctrine case:  PG&amp;E would seek to recover from customers any costs that are not recovered otherwise, but over such a period of time that there would be no rate increase.  Maybe 10-12 years.</w:t>
      </w:r>
    </w:p>
    <w:p>
      <w:pPr>
        <w:pStyle w:val="Normal"/>
        <w:rPr/>
      </w:pPr>
      <w:r>
        <w:rPr/>
      </w:r>
    </w:p>
    <w:p>
      <w:pPr>
        <w:pStyle w:val="Normal"/>
        <w:rPr/>
      </w:pPr>
      <w:r>
        <w:rPr/>
        <w:t>I also asked PG&amp;E to put together a set of frequently asked questions and answers for customers and their representatives to make such things clear.  It sounds like they may do that. They are still looking for general support.</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720"/>
        </w:tabs>
        <w:ind w:start="720" w:hanging="36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2001-09-27T15:46:00Z</dcterms:created>
  <dc:creator>Valued Gateway Client</dc:creator>
  <dc:description/>
  <dc:language>en-CA</dc:language>
  <cp:lastModifiedBy>Valued Gateway Client</cp:lastModifiedBy>
  <dcterms:modified xsi:type="dcterms:W3CDTF">2001-09-27T15:51:00Z</dcterms:modified>
  <cp:revision>1</cp:revision>
  <dc:subject/>
  <dc:title>More info from P&amp;E re Plan of Reorganization</dc:title>
</cp:coreProperties>
</file>