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MARUTI D. MORÉ, CFA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202"/>
        <w:jc w:val="center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SUMMARY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Over 15 years experience in managing/trading institutional public bond portfolios, 4 years experience in trading and managing derivatives, and 4 years experience in fundamental equity research. Successfully designed and implemented total return and asset/liability management strategies for pension and insurance company clients.  Managed equity mutual funds and overseen external sub-advisors. Well versed in the use of quantitative and fundamental analytical tools for security selection, portfolio management, derivatives applications, and performance attribution. Goal oriented self-starter with excellent interpersonal, computing and networking skills. Specialist on India for joint venture projects.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PROFESSIONAL EXPERIENCE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AMERICAN GENERAL CORPORATION, Houston, TX                                                                       1996-2000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>Vice President – Portfolio Management, ( AGIM )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>Vice President – Investments, (VALIC)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eastAsia="CG Times;Times New Roman" w:cs="CG Times;Times New Roman"/>
          <w:b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b/>
          <w:spacing w:val="-2"/>
          <w:sz w:val="22"/>
        </w:rPr>
        <w:t xml:space="preserve">   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Managed derivatives portfolio of interest rate and cross-currency swaps, equity futures and options, and swaptions ($8.7 billion) for all AGC insurance companies with total assets of over $70 billion.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Managed  variable annuity stock mutual fund portfolios ( $605 million) for total return VALIC.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Overseen relationships with 22 sub-advisors and alliance partners managing 84 mutual funds with $13.5 billion in domestic and international stocks and bonds for VALIC.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Managed $375 million AGC fixed income pension portfolio for total return.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Programmed and monitored compliance risks of VALIC mutual funds and AGIM third party accounts with total assets of over $14 billion.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Researched India for joint venture possibilities with Indian banks to market insurance products. 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ind w:start="30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PAUL REVERE INVESTMENT MANAGEMENT CORPORATION , Worcester, MA</w:t>
        <w:tab/>
        <w:t>1993-1995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Managing Director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- </w:t>
      </w:r>
      <w:r>
        <w:rPr>
          <w:rFonts w:cs="CG Times;Times New Roman" w:ascii="CG Times;Times New Roman" w:hAnsi="CG Times;Times New Roman"/>
          <w:b/>
          <w:spacing w:val="-2"/>
          <w:sz w:val="22"/>
        </w:rPr>
        <w:t>Marketable Securities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Managed over $4 billion in public bond portfolios supporting investment needs of Paul Revere and AVCO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Insurance product lines.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Designed and implemented asset/liability matching strategies to stabilize economic surplus and optimize funding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ratios.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Developed hedging programs utilizing fixed income derivatives to minimize interest rate risks. Portfolio assets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invested in government, corporate, MBS/CMOs, Canadian, Yankee, and municipal securities.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Managed a staff of two Second Vice Presidents and a trading assistant with an operating budget of about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$700,000 Closely worked with actuaries, product managers, and Investment Committee members.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DEWEY SQUARE INVESTORS, Boston, MA</w:t>
        <w:tab/>
        <w:t>1986-1993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Senior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Co-managed major institutional bond portfolios for total return with assets exceeding $2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billion. Assets invested in government, corporate, Yankee/Euro Dollar, and MBS/CMOs.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Designed and implemented total return strategies.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Successfully managed structured bond portfolios with assets of $300 million.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Total return performance exceeded targeted market indexes.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NEW YORK LIFE INSURANCE COMPANY, New York, NY</w:t>
        <w:tab/>
        <w:t>1983-1986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Vice President-Portfolio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Managed universal life and fixed income mutual fund portfolios with assets exceeding $535 million. Assets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invested in government, corporate, and MBS/CMOs. Investment performance of portfolios managed exceeded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targeted returns.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Developed corporate hedging program utilizing financial futures for $500 million fixed income assets invested in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universal/whole life, GIC, SPDA, private placements, and mortgages.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Presented to and secured approval from head of Investment Department for hedging and active management of $3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 in public bonds.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As member of Investment Committee, played active role in decision making process relating to investments in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leverage buyouts, venture capital, private placements and oil and gas explorations.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CONNECTICUT TREASURY, Hartford, CT</w:t>
        <w:tab/>
        <w:t>1979-1983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Officer -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MARUTI D. MORÉ, CFA</w:t>
        <w:tab/>
        <w:tab/>
        <w:tab/>
        <w:tab/>
        <w:tab/>
        <w:tab/>
        <w:tab/>
        <w:tab/>
        <w:tab/>
        <w:tab/>
        <w:t>Page Two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 xml:space="preserve"> 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•Managed and supervised $1.2 billion in state retirement system fixed income assets backed by government,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corporate, Yankee, and MBS.</w:t>
        <w:tab/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Formulated investment strategies, negotiated and executed bond trades, supervised credit research, and actively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managed $1.0 billion in-house fixed income assets.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Supervised external fixed income investment advisors managing $200 million of state retirement system.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Total return investment performance consistently exceeded targeted market index during bear, bull, and full cycle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from 1979-1983.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WISCONSIN INVESTMENT BOARD, Madison, WI</w:t>
        <w:tab/>
        <w:t>1974-1979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Officer-Assistant Portfolio Manager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1978-1979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Assisted in formulation of investment strategy and management of $1.5 billion Public Bond Portfolio backed by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government, corporate, MBS, and Canadian securities.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Negotiated and executed bond trades.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 xml:space="preserve">   •</w:t>
        <w:tab/>
        <w:t>Developed comprehensive fixed income research and review system.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Supervised credit research.  Reviewed over 200 computer programs on bond analysis and portfolio management,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and used selected bond valuation techniques.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Senior Analyst, Stocks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</w:t>
        <w:tab/>
        <w:tab/>
        <w:tab/>
        <w:tab/>
        <w:tab/>
        <w:tab/>
        <w:t>1974-1978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Performed fundamental research analysis and made investment recommendations in common stocks for $1.0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 Common Stock Portfolio.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Approved credits for investment in bonds and distressed real estate.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Researched and wrote basic reports on 7 industries and 30 companies.  Presented reports and recommendations to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Investment Directors and Investment Board.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Researched companies in transportation, public utilities, food and beverage, aerospace, oil, machinery, and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banking.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C.G. REIN COMPANY, St. Paul, MN</w:t>
        <w:tab/>
        <w:t>1972-1974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Comptroller Manager, Real Estate Development &amp; Management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MAHARASHTRA, DEPARTMENT OF COOPERATION, Bombay, India</w:t>
        <w:tab/>
        <w:t>1968-1969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Divisional Deputy Registrar of Cooperatives-Assistant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UNIVERSITY OF BOMBAY, H.R. COLLEGE OF COMMERCE AND ECONOMICS, Bombay, India</w:t>
        <w:tab/>
        <w:t>1966-1967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Instructor - Economics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EDUCATION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C.F.A., Institute of Chartered Financial Analysts, 1978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M.B.A., Oklahoma City University, 1970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: Finance </w:t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Minor</w:t>
      </w:r>
      <w:r>
        <w:rPr>
          <w:rFonts w:cs="CG Times;Times New Roman" w:ascii="CG Times;Times New Roman" w:hAnsi="CG Times;Times New Roman"/>
          <w:spacing w:val="-2"/>
          <w:sz w:val="22"/>
        </w:rPr>
        <w:t>: Management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Thesis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>Harry Markowitz's Portfolio Selection Theory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LL.B., Bachelor of Laws, University of Bombay, 1968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M.A., University of Bombay, 1966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 xml:space="preserve">Business Economics </w:t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Minor</w:t>
      </w:r>
      <w:r>
        <w:rPr>
          <w:rFonts w:cs="CG Times;Times New Roman" w:ascii="CG Times;Times New Roman" w:hAnsi="CG Times;Times New Roman"/>
          <w:spacing w:val="-2"/>
          <w:sz w:val="22"/>
        </w:rPr>
        <w:t>: Fiscal &amp; Monetary Economics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B.A., Marathwada University, 1964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Majors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>Economics, Political Science, and Literature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start="9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>Attended Indian Institute of Management, Calcutta (MIT collaboration) Masters program in                                               Management, as a Tata Scholar, 1968.</w:t>
      </w:r>
    </w:p>
    <w:p>
      <w:pPr>
        <w:pStyle w:val="Heading1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/>
          <w:spacing w:val="-2"/>
          <w:sz w:val="22"/>
        </w:rPr>
      </w:r>
    </w:p>
    <w:p>
      <w:pPr>
        <w:pStyle w:val="Heading1"/>
        <w:rPr/>
      </w:pPr>
      <w:r>
        <w:rPr/>
        <w:t xml:space="preserve">ANALYTICAL                  </w:t>
      </w:r>
      <w:r>
        <w:rPr>
          <w:b w:val="false"/>
        </w:rPr>
        <w:t xml:space="preserve">Tools used: BARRA, Yield Book, CMS, GAT, GFA, Bloomberg,  Lipper, Morningstar, First </w:t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ab/>
        <w:tab/>
        <w:t xml:space="preserve">         </w:t>
      </w:r>
      <w:r>
        <w:rPr>
          <w:rFonts w:cs="CG Times;Times New Roman" w:ascii="CG Times;Times New Roman" w:hAnsi="CG Times;Times New Roman"/>
          <w:spacing w:val="-2"/>
          <w:sz w:val="22"/>
        </w:rPr>
        <w:t>Call, FactSet, Shaw, PAM, PTS, Excel, PowerPoint, Word, Lotus, Internet.</w:t>
      </w:r>
    </w:p>
    <w:p>
      <w:pPr>
        <w:pStyle w:val="Normal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INTERESTS</w:t>
        <w:tab/>
        <w:tab/>
        <w:t xml:space="preserve">        </w:t>
      </w:r>
      <w:r>
        <w:rPr>
          <w:rFonts w:cs="CG Times;Times New Roman" w:ascii="CG Times;Times New Roman" w:hAnsi="CG Times;Times New Roman"/>
          <w:spacing w:val="-2"/>
          <w:sz w:val="22"/>
        </w:rPr>
        <w:t>Golf, Skiing, Swimming, Gardening, Reading, Music, Community Service</w:t>
      </w:r>
    </w:p>
    <w:p>
      <w:pPr>
        <w:pStyle w:val="Normal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CONTACT</w:t>
        <w:tab/>
        <w:t xml:space="preserve">                    </w:t>
      </w:r>
      <w:r>
        <w:rPr>
          <w:rFonts w:cs="CG Times;Times New Roman" w:ascii="CG Times;Times New Roman" w:hAnsi="CG Times;Times New Roman"/>
          <w:spacing w:val="-2"/>
          <w:sz w:val="22"/>
        </w:rPr>
        <w:t>Home:  12006 Pebble Hill Drive, Houston, TX  77024</w:t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 xml:space="preserve">       E-mail:  </w:t>
      </w:r>
      <w:hyperlink r:id="rId2">
        <w:r>
          <w:rPr>
            <w:rStyle w:val="Hyperlink"/>
          </w:rPr>
          <w:t>more@insync</w:t>
        </w:r>
      </w:hyperlink>
      <w:r>
        <w:rPr>
          <w:rFonts w:cs="CG Times;Times New Roman" w:ascii="CG Times;Times New Roman" w:hAnsi="CG Times;Times New Roman"/>
          <w:spacing w:val="-2"/>
          <w:sz w:val="22"/>
        </w:rPr>
        <w:t xml:space="preserve">.net   Fax/Phone: 713-722-7199 </w:t>
      </w:r>
    </w:p>
    <w:sectPr>
      <w:type w:val="nextPage"/>
      <w:pgSz w:w="12240" w:h="15840"/>
      <w:pgMar w:left="720" w:right="720" w:gutter="0" w:header="0" w:top="648" w:footer="0" w:bottom="64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altName w:val="Arial"/>
    <w:charset w:val="00" w:characterSet="windows-1252"/>
    <w:family w:val="swiss"/>
    <w:pitch w:val="variable"/>
  </w:font>
  <w:font w:name="CG 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;Arial" w:hAnsi="Univers;Arial" w:eastAsia="Times New Roman" w:cs="Univers;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44" w:leader="none"/>
        <w:tab w:val="left" w:pos="90" w:leader="none"/>
        <w:tab w:val="left" w:pos="270" w:leader="none"/>
        <w:tab w:val="left" w:pos="450" w:leader="none"/>
        <w:tab w:val="left" w:pos="1296" w:leader="none"/>
        <w:tab w:val="left" w:pos="2016" w:leader="none"/>
        <w:tab w:val="left" w:pos="2736" w:leader="none"/>
        <w:tab w:val="left" w:pos="2880" w:leader="none"/>
        <w:tab w:val="left" w:pos="3600" w:leader="none"/>
        <w:tab w:val="left" w:pos="3780" w:leader="none"/>
        <w:tab w:val="left" w:pos="5616" w:leader="none"/>
        <w:tab w:val="left" w:pos="6336" w:leader="none"/>
        <w:tab w:val="left" w:pos="7056" w:leader="none"/>
        <w:tab w:val="left" w:pos="7776" w:leader="none"/>
        <w:tab w:val="left" w:pos="8496" w:leader="none"/>
        <w:tab w:val="left" w:pos="9216" w:leader="none"/>
        <w:tab w:val="left" w:pos="9936" w:leader="none"/>
        <w:tab w:val="left" w:pos="10656" w:leader="none"/>
        <w:tab w:val="left" w:pos="11376" w:leader="none"/>
        <w:tab w:val="left" w:pos="12096" w:leader="none"/>
        <w:tab w:val="left" w:pos="12816" w:leader="none"/>
        <w:tab w:val="left" w:pos="13536" w:leader="none"/>
        <w:tab w:val="left" w:pos="14256" w:leader="none"/>
        <w:tab w:val="left" w:pos="14976" w:leader="none"/>
        <w:tab w:val="left" w:pos="15696" w:leader="none"/>
        <w:tab w:val="left" w:pos="16416" w:leader="none"/>
        <w:tab w:val="left" w:pos="17136" w:leader="none"/>
        <w:tab w:val="left" w:pos="17856" w:leader="none"/>
        <w:tab w:val="left" w:pos="18576" w:leader="none"/>
        <w:tab w:val="left" w:pos="30960" w:leader="none"/>
      </w:tabs>
      <w:suppressAutoHyphens w:val="true"/>
      <w:spacing w:lineRule="auto" w:line="202"/>
      <w:ind w:hanging="0" w:start="90" w:end="0"/>
      <w:jc w:val="both"/>
      <w:outlineLvl w:val="0"/>
    </w:pPr>
    <w:rPr>
      <w:rFonts w:ascii="CG Times;Times New Roman" w:hAnsi="CG Times;Times New Roman" w:cs="CG Times;Times New Roman"/>
      <w:b/>
      <w:spacing w:val="-2"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re@insyn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2000-01-12T17:49:00Z</dcterms:created>
  <dc:creator>Julia Forbes</dc:creator>
  <dc:description/>
  <dc:language>en-CA</dc:language>
  <cp:lastModifiedBy>HP Authorized Customer</cp:lastModifiedBy>
  <cp:lastPrinted>2000-02-04T17:01:00Z</cp:lastPrinted>
  <dcterms:modified xsi:type="dcterms:W3CDTF">2000-02-04T20:33:00Z</dcterms:modified>
  <cp:revision>4</cp:revision>
  <dc:subject/>
  <dc:title/>
</cp:coreProperties>
</file>