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To:  All Northern Natural Gas Offshore Pipeline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Subject:  Matagorda Offshore Pipeline System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October 01 through 31, 2001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POI # 611 FGT MOPS Refugio Delivery Interconnect will not </w:t>
      </w:r>
    </w:p>
    <w:p>
      <w:pPr>
        <w:pStyle w:val="Normal"/>
        <w:rPr>
          <w:sz w:val="22"/>
        </w:rPr>
      </w:pPr>
      <w:r>
        <w:rPr>
          <w:sz w:val="22"/>
        </w:rPr>
        <w:t>be available (0 flow)due to Florida Gas Transmission will be</w:t>
      </w:r>
    </w:p>
    <w:p>
      <w:pPr>
        <w:pStyle w:val="Normal"/>
        <w:rPr>
          <w:sz w:val="22"/>
        </w:rPr>
      </w:pPr>
      <w:r>
        <w:rPr>
          <w:sz w:val="22"/>
        </w:rPr>
        <w:t>replacing approximately 7,260 feet of 20” mainline pipe upstream</w:t>
      </w:r>
    </w:p>
    <w:p>
      <w:pPr>
        <w:pStyle w:val="Normal"/>
        <w:rPr>
          <w:sz w:val="22"/>
        </w:rPr>
      </w:pPr>
      <w:r>
        <w:rPr>
          <w:sz w:val="22"/>
        </w:rPr>
        <w:t>of Compressor Station #3 located in Refugio County, Texas affecting</w:t>
      </w:r>
    </w:p>
    <w:p>
      <w:pPr>
        <w:pStyle w:val="Normal"/>
        <w:rPr>
          <w:sz w:val="22"/>
        </w:rPr>
      </w:pPr>
      <w:r>
        <w:rPr>
          <w:sz w:val="22"/>
        </w:rPr>
        <w:t xml:space="preserve">Zone 1. </w:t>
      </w:r>
    </w:p>
    <w:p>
      <w:pPr>
        <w:pStyle w:val="Normal"/>
        <w:rPr>
          <w:sz w:val="22"/>
        </w:rPr>
      </w:pPr>
      <w:r>
        <w:rPr>
          <w:sz w:val="22"/>
        </w:rPr>
        <w:t xml:space="preserve">Alternate delivery points are listed below. </w:t>
      </w:r>
    </w:p>
    <w:p>
      <w:pPr>
        <w:pStyle w:val="Normal"/>
        <w:rPr>
          <w:sz w:val="22"/>
        </w:rPr>
      </w:pPr>
      <w:r>
        <w:rPr>
          <w:sz w:val="22"/>
        </w:rPr>
        <w:t>If any questions concerning the outage please refer to the FGT Internet Web Site.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Delivery:              POI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Midcon               8073</w:t>
      </w:r>
    </w:p>
    <w:p>
      <w:pPr>
        <w:pStyle w:val="Normal"/>
        <w:rPr>
          <w:sz w:val="22"/>
        </w:rPr>
      </w:pPr>
      <w:r>
        <w:rPr>
          <w:sz w:val="22"/>
        </w:rPr>
        <w:t>Tejas                   1644</w:t>
      </w:r>
    </w:p>
    <w:p>
      <w:pPr>
        <w:pStyle w:val="Normal"/>
        <w:rPr>
          <w:sz w:val="22"/>
        </w:rPr>
      </w:pPr>
      <w:r>
        <w:rPr>
          <w:sz w:val="22"/>
        </w:rPr>
        <w:t>HPL                      287</w:t>
      </w:r>
    </w:p>
    <w:p>
      <w:pPr>
        <w:pStyle w:val="Normal"/>
        <w:rPr>
          <w:sz w:val="22"/>
        </w:rPr>
      </w:pPr>
      <w:r>
        <w:rPr>
          <w:sz w:val="22"/>
        </w:rPr>
        <w:t>NGPL                 1791</w:t>
      </w:r>
    </w:p>
    <w:p>
      <w:pPr>
        <w:pStyle w:val="Normal"/>
        <w:rPr>
          <w:sz w:val="22"/>
        </w:rPr>
      </w:pPr>
      <w:r>
        <w:rPr>
          <w:sz w:val="22"/>
        </w:rPr>
        <w:t>KOCH                  346</w:t>
      </w:r>
    </w:p>
    <w:p>
      <w:pPr>
        <w:pStyle w:val="Normal"/>
        <w:rPr>
          <w:sz w:val="22"/>
        </w:rPr>
      </w:pPr>
      <w:r>
        <w:rPr>
          <w:sz w:val="22"/>
        </w:rPr>
        <w:t>Seadrift             49581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2001-09-06T11:49:00Z</dcterms:created>
  <dc:creator>Preferred Customer</dc:creator>
  <dc:description/>
  <dc:language>en-CA</dc:language>
  <cp:lastModifiedBy>dschool</cp:lastModifiedBy>
  <dcterms:modified xsi:type="dcterms:W3CDTF">2001-09-06T11:49:00Z</dcterms:modified>
  <cp:revision>2</cp:revision>
  <dc:subject/>
  <dc:title>To:  All Northern Natural Gas Offshore Pipeline Customers</dc:title>
</cp:coreProperties>
</file>